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E39E0" w14:textId="77777777" w:rsidR="009A069E" w:rsidRDefault="009A069E" w:rsidP="004103B4">
      <w:pPr>
        <w:tabs>
          <w:tab w:val="left" w:pos="3119"/>
        </w:tabs>
      </w:pPr>
      <w:r>
        <w:rPr>
          <w:noProof/>
          <w:color w:val="A6A6A6" w:themeColor="background1" w:themeShade="A6"/>
          <w:lang w:eastAsia="de-DE"/>
        </w:rPr>
        <w:drawing>
          <wp:inline distT="0" distB="0" distL="0" distR="0" wp14:anchorId="6DFE3514" wp14:editId="4F37B457">
            <wp:extent cx="2904324" cy="315623"/>
            <wp:effectExtent l="0" t="0" r="4445" b="1905"/>
            <wp:docPr id="1" name="Grafik 1" title="Logo Sozialpolit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Klett_MINT_4c.jpg"/>
                    <pic:cNvPicPr/>
                  </pic:nvPicPr>
                  <pic:blipFill>
                    <a:blip r:embed="rId8">
                      <a:extLst>
                        <a:ext uri="{28A0092B-C50C-407E-A947-70E740481C1C}">
                          <a14:useLocalDpi xmlns:a14="http://schemas.microsoft.com/office/drawing/2010/main" val="0"/>
                        </a:ext>
                      </a:extLst>
                    </a:blip>
                    <a:stretch>
                      <a:fillRect/>
                    </a:stretch>
                  </pic:blipFill>
                  <pic:spPr>
                    <a:xfrm>
                      <a:off x="0" y="0"/>
                      <a:ext cx="2904324" cy="315623"/>
                    </a:xfrm>
                    <a:prstGeom prst="rect">
                      <a:avLst/>
                    </a:prstGeom>
                  </pic:spPr>
                </pic:pic>
              </a:graphicData>
            </a:graphic>
          </wp:inline>
        </w:drawing>
      </w:r>
    </w:p>
    <w:p w14:paraId="33FEEC97" w14:textId="77777777" w:rsidR="009A069E" w:rsidRPr="00800BD8" w:rsidRDefault="009A069E" w:rsidP="009A069E"/>
    <w:p w14:paraId="55C728C2" w14:textId="77777777" w:rsidR="009A069E" w:rsidRDefault="009A069E" w:rsidP="009A069E">
      <w:pPr>
        <w:tabs>
          <w:tab w:val="left" w:pos="5954"/>
        </w:tabs>
        <w:ind w:right="-7"/>
        <w:rPr>
          <w:rFonts w:ascii="Verdana" w:hAnsi="Verdana"/>
          <w:b/>
          <w:bCs/>
        </w:rPr>
      </w:pPr>
    </w:p>
    <w:p w14:paraId="54737FE4" w14:textId="77777777" w:rsidR="009A069E" w:rsidRPr="00605A9D" w:rsidRDefault="009A069E" w:rsidP="009A069E">
      <w:pPr>
        <w:tabs>
          <w:tab w:val="left" w:pos="5954"/>
        </w:tabs>
        <w:ind w:right="-7"/>
        <w:rPr>
          <w:rFonts w:ascii="Verdana" w:hAnsi="Verdana"/>
        </w:rPr>
      </w:pPr>
      <w:r>
        <w:rPr>
          <w:rFonts w:ascii="Verdana" w:hAnsi="Verdana"/>
          <w:b/>
          <w:bCs/>
        </w:rPr>
        <w:t>ARBEITSLOSIGKEIT</w:t>
      </w:r>
    </w:p>
    <w:p w14:paraId="6B212E9C" w14:textId="0485B05F" w:rsidR="0086256D" w:rsidRDefault="0086256D" w:rsidP="007F097F">
      <w:pPr>
        <w:autoSpaceDE w:val="0"/>
        <w:autoSpaceDN w:val="0"/>
        <w:adjustRightInd w:val="0"/>
        <w:rPr>
          <w:rFonts w:ascii="Verdana" w:hAnsi="Verdana" w:cs="DIN"/>
          <w:color w:val="000000"/>
          <w:sz w:val="18"/>
          <w:szCs w:val="18"/>
        </w:rPr>
      </w:pPr>
      <w:bookmarkStart w:id="0" w:name="_GoBack"/>
    </w:p>
    <w:bookmarkEnd w:id="0"/>
    <w:p w14:paraId="17CBD02E" w14:textId="77777777" w:rsidR="009A069E" w:rsidRDefault="009A069E" w:rsidP="007F097F">
      <w:pPr>
        <w:autoSpaceDE w:val="0"/>
        <w:autoSpaceDN w:val="0"/>
        <w:adjustRightInd w:val="0"/>
        <w:rPr>
          <w:rFonts w:ascii="Verdana" w:hAnsi="Verdana" w:cs="DIN"/>
          <w:color w:val="000000"/>
          <w:sz w:val="18"/>
          <w:szCs w:val="18"/>
        </w:rPr>
      </w:pPr>
    </w:p>
    <w:tbl>
      <w:tblPr>
        <w:tblStyle w:val="Tabellenraster"/>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57" w:type="dxa"/>
          <w:left w:w="57" w:type="dxa"/>
          <w:bottom w:w="57" w:type="dxa"/>
          <w:right w:w="57" w:type="dxa"/>
        </w:tblCellMar>
        <w:tblLook w:val="04A0" w:firstRow="1" w:lastRow="0" w:firstColumn="1" w:lastColumn="0" w:noHBand="0" w:noVBand="1"/>
      </w:tblPr>
      <w:tblGrid>
        <w:gridCol w:w="885"/>
        <w:gridCol w:w="1090"/>
        <w:gridCol w:w="955"/>
        <w:gridCol w:w="866"/>
        <w:gridCol w:w="1090"/>
        <w:gridCol w:w="955"/>
        <w:gridCol w:w="866"/>
        <w:gridCol w:w="1090"/>
        <w:gridCol w:w="955"/>
      </w:tblGrid>
      <w:tr w:rsidR="00B15D8E" w14:paraId="53940EDA" w14:textId="77777777" w:rsidTr="009A069E">
        <w:trPr>
          <w:tblHeader/>
        </w:trPr>
        <w:tc>
          <w:tcPr>
            <w:tcW w:w="898" w:type="dxa"/>
            <w:shd w:val="clear" w:color="auto" w:fill="000000" w:themeFill="text1"/>
          </w:tcPr>
          <w:p w14:paraId="64F8B2E1" w14:textId="1576FCB1" w:rsidR="0086256D" w:rsidRPr="00CC22DF" w:rsidRDefault="001F0084" w:rsidP="007F097F">
            <w:pPr>
              <w:autoSpaceDE w:val="0"/>
              <w:autoSpaceDN w:val="0"/>
              <w:adjustRightInd w:val="0"/>
              <w:rPr>
                <w:rFonts w:ascii="Verdana" w:hAnsi="Verdana" w:cs="DIN"/>
                <w:b/>
                <w:color w:val="FFFFFF" w:themeColor="background1"/>
                <w:sz w:val="13"/>
                <w:szCs w:val="13"/>
              </w:rPr>
            </w:pPr>
            <w:r w:rsidRPr="00CC22DF">
              <w:rPr>
                <w:rFonts w:ascii="Verdana" w:hAnsi="Verdana" w:cs="DIN"/>
                <w:b/>
                <w:color w:val="FFFFFF" w:themeColor="background1"/>
                <w:sz w:val="13"/>
                <w:szCs w:val="13"/>
              </w:rPr>
              <w:t>Jahr</w:t>
            </w:r>
          </w:p>
        </w:tc>
        <w:tc>
          <w:tcPr>
            <w:tcW w:w="1075" w:type="dxa"/>
            <w:shd w:val="clear" w:color="auto" w:fill="000000" w:themeFill="text1"/>
          </w:tcPr>
          <w:p w14:paraId="33F35EDF" w14:textId="3B73BE32" w:rsidR="0086256D" w:rsidRPr="00CC22DF" w:rsidRDefault="001F0084" w:rsidP="007F097F">
            <w:pPr>
              <w:autoSpaceDE w:val="0"/>
              <w:autoSpaceDN w:val="0"/>
              <w:adjustRightInd w:val="0"/>
              <w:rPr>
                <w:rFonts w:ascii="Verdana" w:hAnsi="Verdana" w:cs="DIN"/>
                <w:b/>
                <w:color w:val="FFFFFF" w:themeColor="background1"/>
                <w:sz w:val="13"/>
                <w:szCs w:val="13"/>
              </w:rPr>
            </w:pPr>
            <w:r w:rsidRPr="00CC22DF">
              <w:rPr>
                <w:rFonts w:ascii="Verdana" w:hAnsi="Verdana" w:cs="DIN"/>
                <w:b/>
                <w:color w:val="FFFFFF" w:themeColor="background1"/>
                <w:sz w:val="13"/>
                <w:szCs w:val="13"/>
              </w:rPr>
              <w:t>Arbeitslosen-</w:t>
            </w:r>
            <w:r w:rsidRPr="00CC22DF">
              <w:rPr>
                <w:rFonts w:ascii="Verdana" w:hAnsi="Verdana" w:cs="DIN"/>
                <w:b/>
                <w:color w:val="FFFFFF" w:themeColor="background1"/>
                <w:sz w:val="13"/>
                <w:szCs w:val="13"/>
              </w:rPr>
              <w:br/>
              <w:t>quote*</w:t>
            </w:r>
          </w:p>
        </w:tc>
        <w:tc>
          <w:tcPr>
            <w:tcW w:w="957" w:type="dxa"/>
            <w:shd w:val="clear" w:color="auto" w:fill="000000" w:themeFill="text1"/>
          </w:tcPr>
          <w:p w14:paraId="1A8B5187" w14:textId="62545DBD" w:rsidR="0086256D" w:rsidRPr="00CC22DF" w:rsidRDefault="001F0084" w:rsidP="007F097F">
            <w:pPr>
              <w:autoSpaceDE w:val="0"/>
              <w:autoSpaceDN w:val="0"/>
              <w:adjustRightInd w:val="0"/>
              <w:rPr>
                <w:rFonts w:ascii="Verdana" w:hAnsi="Verdana" w:cs="DIN"/>
                <w:b/>
                <w:color w:val="FFFFFF" w:themeColor="background1"/>
                <w:sz w:val="13"/>
                <w:szCs w:val="13"/>
              </w:rPr>
            </w:pPr>
            <w:r w:rsidRPr="00CC22DF">
              <w:rPr>
                <w:rFonts w:ascii="Verdana" w:hAnsi="Verdana" w:cs="DIN"/>
                <w:b/>
                <w:color w:val="FFFFFF" w:themeColor="background1"/>
                <w:sz w:val="13"/>
                <w:szCs w:val="13"/>
              </w:rPr>
              <w:t>Inflations-</w:t>
            </w:r>
            <w:r w:rsidRPr="00CC22DF">
              <w:rPr>
                <w:rFonts w:ascii="Verdana" w:hAnsi="Verdana" w:cs="DIN"/>
                <w:b/>
                <w:color w:val="FFFFFF" w:themeColor="background1"/>
                <w:sz w:val="13"/>
                <w:szCs w:val="13"/>
              </w:rPr>
              <w:br/>
              <w:t>rate</w:t>
            </w:r>
          </w:p>
        </w:tc>
        <w:tc>
          <w:tcPr>
            <w:tcW w:w="878" w:type="dxa"/>
            <w:shd w:val="clear" w:color="auto" w:fill="000000" w:themeFill="text1"/>
          </w:tcPr>
          <w:p w14:paraId="6DC36A94" w14:textId="7513569A" w:rsidR="0086256D" w:rsidRPr="00CC22DF" w:rsidRDefault="001F0084" w:rsidP="007F097F">
            <w:pPr>
              <w:autoSpaceDE w:val="0"/>
              <w:autoSpaceDN w:val="0"/>
              <w:adjustRightInd w:val="0"/>
              <w:rPr>
                <w:rFonts w:ascii="Verdana" w:hAnsi="Verdana" w:cs="DIN"/>
                <w:b/>
                <w:color w:val="FFFFFF" w:themeColor="background1"/>
                <w:sz w:val="13"/>
                <w:szCs w:val="13"/>
              </w:rPr>
            </w:pPr>
            <w:r w:rsidRPr="00CC22DF">
              <w:rPr>
                <w:rFonts w:ascii="Verdana" w:hAnsi="Verdana" w:cs="DIN"/>
                <w:b/>
                <w:color w:val="FFFFFF" w:themeColor="background1"/>
                <w:sz w:val="13"/>
                <w:szCs w:val="13"/>
              </w:rPr>
              <w:t>Jahr</w:t>
            </w:r>
          </w:p>
        </w:tc>
        <w:tc>
          <w:tcPr>
            <w:tcW w:w="1075" w:type="dxa"/>
            <w:shd w:val="clear" w:color="auto" w:fill="000000" w:themeFill="text1"/>
          </w:tcPr>
          <w:p w14:paraId="7CDC94FE" w14:textId="143B4EFC" w:rsidR="0086256D" w:rsidRPr="00CC22DF" w:rsidRDefault="001F0084" w:rsidP="007F097F">
            <w:pPr>
              <w:autoSpaceDE w:val="0"/>
              <w:autoSpaceDN w:val="0"/>
              <w:adjustRightInd w:val="0"/>
              <w:rPr>
                <w:rFonts w:ascii="Verdana" w:hAnsi="Verdana" w:cs="DIN"/>
                <w:b/>
                <w:color w:val="FFFFFF" w:themeColor="background1"/>
                <w:sz w:val="13"/>
                <w:szCs w:val="13"/>
              </w:rPr>
            </w:pPr>
            <w:r w:rsidRPr="00CC22DF">
              <w:rPr>
                <w:rFonts w:ascii="Verdana" w:hAnsi="Verdana" w:cs="DIN"/>
                <w:b/>
                <w:color w:val="FFFFFF" w:themeColor="background1"/>
                <w:sz w:val="13"/>
                <w:szCs w:val="13"/>
              </w:rPr>
              <w:t>Arbeitslosen-</w:t>
            </w:r>
            <w:r w:rsidRPr="00CC22DF">
              <w:rPr>
                <w:rFonts w:ascii="Verdana" w:hAnsi="Verdana" w:cs="DIN"/>
                <w:b/>
                <w:color w:val="FFFFFF" w:themeColor="background1"/>
                <w:sz w:val="13"/>
                <w:szCs w:val="13"/>
              </w:rPr>
              <w:br/>
              <w:t>quote*</w:t>
            </w:r>
          </w:p>
        </w:tc>
        <w:tc>
          <w:tcPr>
            <w:tcW w:w="958" w:type="dxa"/>
            <w:shd w:val="clear" w:color="auto" w:fill="000000" w:themeFill="text1"/>
          </w:tcPr>
          <w:p w14:paraId="354CBD66" w14:textId="4251E42D" w:rsidR="0086256D" w:rsidRPr="00CC22DF" w:rsidRDefault="001F0084" w:rsidP="007F097F">
            <w:pPr>
              <w:autoSpaceDE w:val="0"/>
              <w:autoSpaceDN w:val="0"/>
              <w:adjustRightInd w:val="0"/>
              <w:rPr>
                <w:rFonts w:ascii="Verdana" w:hAnsi="Verdana" w:cs="DIN"/>
                <w:b/>
                <w:color w:val="FFFFFF" w:themeColor="background1"/>
                <w:sz w:val="13"/>
                <w:szCs w:val="13"/>
              </w:rPr>
            </w:pPr>
            <w:r w:rsidRPr="00CC22DF">
              <w:rPr>
                <w:rFonts w:ascii="Verdana" w:hAnsi="Verdana" w:cs="DIN"/>
                <w:b/>
                <w:color w:val="FFFFFF" w:themeColor="background1"/>
                <w:sz w:val="13"/>
                <w:szCs w:val="13"/>
              </w:rPr>
              <w:t>Inflations-</w:t>
            </w:r>
            <w:r w:rsidRPr="00CC22DF">
              <w:rPr>
                <w:rFonts w:ascii="Verdana" w:hAnsi="Verdana" w:cs="DIN"/>
                <w:b/>
                <w:color w:val="FFFFFF" w:themeColor="background1"/>
                <w:sz w:val="13"/>
                <w:szCs w:val="13"/>
              </w:rPr>
              <w:br/>
              <w:t>rate</w:t>
            </w:r>
          </w:p>
        </w:tc>
        <w:tc>
          <w:tcPr>
            <w:tcW w:w="878" w:type="dxa"/>
            <w:shd w:val="clear" w:color="auto" w:fill="000000" w:themeFill="text1"/>
          </w:tcPr>
          <w:p w14:paraId="5C0AC5E6" w14:textId="743B277B" w:rsidR="0086256D" w:rsidRPr="00CC22DF" w:rsidRDefault="001F0084" w:rsidP="007F097F">
            <w:pPr>
              <w:autoSpaceDE w:val="0"/>
              <w:autoSpaceDN w:val="0"/>
              <w:adjustRightInd w:val="0"/>
              <w:rPr>
                <w:rFonts w:ascii="Verdana" w:hAnsi="Verdana" w:cs="DIN"/>
                <w:b/>
                <w:color w:val="FFFFFF" w:themeColor="background1"/>
                <w:sz w:val="13"/>
                <w:szCs w:val="13"/>
              </w:rPr>
            </w:pPr>
            <w:r w:rsidRPr="00CC22DF">
              <w:rPr>
                <w:rFonts w:ascii="Verdana" w:hAnsi="Verdana" w:cs="DIN"/>
                <w:b/>
                <w:color w:val="FFFFFF" w:themeColor="background1"/>
                <w:sz w:val="13"/>
                <w:szCs w:val="13"/>
              </w:rPr>
              <w:t>Jahr</w:t>
            </w:r>
          </w:p>
        </w:tc>
        <w:tc>
          <w:tcPr>
            <w:tcW w:w="1075" w:type="dxa"/>
            <w:shd w:val="clear" w:color="auto" w:fill="000000" w:themeFill="text1"/>
          </w:tcPr>
          <w:p w14:paraId="2456EC36" w14:textId="627E0FB0" w:rsidR="0086256D" w:rsidRPr="00CC22DF" w:rsidRDefault="001F0084" w:rsidP="007F097F">
            <w:pPr>
              <w:autoSpaceDE w:val="0"/>
              <w:autoSpaceDN w:val="0"/>
              <w:adjustRightInd w:val="0"/>
              <w:rPr>
                <w:rFonts w:ascii="Verdana" w:hAnsi="Verdana" w:cs="DIN"/>
                <w:b/>
                <w:color w:val="FFFFFF" w:themeColor="background1"/>
                <w:sz w:val="13"/>
                <w:szCs w:val="13"/>
              </w:rPr>
            </w:pPr>
            <w:r w:rsidRPr="00CC22DF">
              <w:rPr>
                <w:rFonts w:ascii="Verdana" w:hAnsi="Verdana" w:cs="DIN"/>
                <w:b/>
                <w:color w:val="FFFFFF" w:themeColor="background1"/>
                <w:sz w:val="13"/>
                <w:szCs w:val="13"/>
              </w:rPr>
              <w:t>Arbeitslosen-</w:t>
            </w:r>
            <w:r w:rsidRPr="00CC22DF">
              <w:rPr>
                <w:rFonts w:ascii="Verdana" w:hAnsi="Verdana" w:cs="DIN"/>
                <w:b/>
                <w:color w:val="FFFFFF" w:themeColor="background1"/>
                <w:sz w:val="13"/>
                <w:szCs w:val="13"/>
              </w:rPr>
              <w:br/>
              <w:t>quote*</w:t>
            </w:r>
          </w:p>
        </w:tc>
        <w:tc>
          <w:tcPr>
            <w:tcW w:w="958" w:type="dxa"/>
            <w:shd w:val="clear" w:color="auto" w:fill="000000" w:themeFill="text1"/>
          </w:tcPr>
          <w:p w14:paraId="35B09D6C" w14:textId="1851FC19" w:rsidR="0086256D" w:rsidRPr="00CC22DF" w:rsidRDefault="001F0084" w:rsidP="007F097F">
            <w:pPr>
              <w:autoSpaceDE w:val="0"/>
              <w:autoSpaceDN w:val="0"/>
              <w:adjustRightInd w:val="0"/>
              <w:rPr>
                <w:rFonts w:ascii="Verdana" w:hAnsi="Verdana" w:cs="DIN"/>
                <w:b/>
                <w:color w:val="FFFFFF" w:themeColor="background1"/>
                <w:sz w:val="13"/>
                <w:szCs w:val="13"/>
              </w:rPr>
            </w:pPr>
            <w:r w:rsidRPr="00CC22DF">
              <w:rPr>
                <w:rFonts w:ascii="Verdana" w:hAnsi="Verdana" w:cs="DIN"/>
                <w:b/>
                <w:color w:val="FFFFFF" w:themeColor="background1"/>
                <w:sz w:val="13"/>
                <w:szCs w:val="13"/>
              </w:rPr>
              <w:t>Inflations-</w:t>
            </w:r>
            <w:r w:rsidRPr="00CC22DF">
              <w:rPr>
                <w:rFonts w:ascii="Verdana" w:hAnsi="Verdana" w:cs="DIN"/>
                <w:b/>
                <w:color w:val="FFFFFF" w:themeColor="background1"/>
                <w:sz w:val="13"/>
                <w:szCs w:val="13"/>
              </w:rPr>
              <w:br/>
              <w:t>rate</w:t>
            </w:r>
          </w:p>
        </w:tc>
      </w:tr>
      <w:tr w:rsidR="00B15D8E" w14:paraId="0253E408" w14:textId="77777777" w:rsidTr="00CC22DF">
        <w:tc>
          <w:tcPr>
            <w:tcW w:w="898" w:type="dxa"/>
            <w:shd w:val="clear" w:color="auto" w:fill="FEED00"/>
          </w:tcPr>
          <w:p w14:paraId="720A9A22" w14:textId="298724A1"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Bold"/>
                <w:b/>
                <w:bCs/>
                <w:sz w:val="15"/>
                <w:szCs w:val="15"/>
              </w:rPr>
              <w:t>1950</w:t>
            </w:r>
          </w:p>
        </w:tc>
        <w:tc>
          <w:tcPr>
            <w:tcW w:w="1075" w:type="dxa"/>
            <w:shd w:val="clear" w:color="auto" w:fill="FEED00"/>
          </w:tcPr>
          <w:p w14:paraId="1BC7FB7F" w14:textId="318A1BBB"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 xml:space="preserve">11,0 </w:t>
            </w:r>
          </w:p>
        </w:tc>
        <w:tc>
          <w:tcPr>
            <w:tcW w:w="957" w:type="dxa"/>
            <w:shd w:val="clear" w:color="auto" w:fill="FEED00"/>
          </w:tcPr>
          <w:p w14:paraId="6207F566" w14:textId="1A56ACC1"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-9,6</w:t>
            </w:r>
          </w:p>
        </w:tc>
        <w:tc>
          <w:tcPr>
            <w:tcW w:w="878" w:type="dxa"/>
            <w:shd w:val="clear" w:color="auto" w:fill="FEED00"/>
          </w:tcPr>
          <w:p w14:paraId="665E4815" w14:textId="0A2E1719"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Bold"/>
                <w:b/>
                <w:bCs/>
                <w:sz w:val="15"/>
                <w:szCs w:val="15"/>
              </w:rPr>
              <w:t>1973</w:t>
            </w:r>
          </w:p>
        </w:tc>
        <w:tc>
          <w:tcPr>
            <w:tcW w:w="1075" w:type="dxa"/>
            <w:shd w:val="clear" w:color="auto" w:fill="FEED00"/>
          </w:tcPr>
          <w:p w14:paraId="4A003B66" w14:textId="2538C94A"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 xml:space="preserve">1,2 </w:t>
            </w:r>
          </w:p>
        </w:tc>
        <w:tc>
          <w:tcPr>
            <w:tcW w:w="958" w:type="dxa"/>
            <w:shd w:val="clear" w:color="auto" w:fill="FEED00"/>
          </w:tcPr>
          <w:p w14:paraId="05F395DE" w14:textId="0E8EDFFF"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6,6</w:t>
            </w:r>
          </w:p>
        </w:tc>
        <w:tc>
          <w:tcPr>
            <w:tcW w:w="878" w:type="dxa"/>
            <w:shd w:val="clear" w:color="auto" w:fill="FEED00"/>
          </w:tcPr>
          <w:p w14:paraId="6CC92902" w14:textId="1A33F163"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Bold"/>
                <w:b/>
                <w:bCs/>
                <w:sz w:val="15"/>
                <w:szCs w:val="15"/>
              </w:rPr>
              <w:t>1996</w:t>
            </w:r>
          </w:p>
        </w:tc>
        <w:tc>
          <w:tcPr>
            <w:tcW w:w="1075" w:type="dxa"/>
            <w:shd w:val="clear" w:color="auto" w:fill="FEED00"/>
          </w:tcPr>
          <w:p w14:paraId="7C3716E0" w14:textId="55C01BD6"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 xml:space="preserve">11,5 </w:t>
            </w:r>
          </w:p>
        </w:tc>
        <w:tc>
          <w:tcPr>
            <w:tcW w:w="958" w:type="dxa"/>
            <w:shd w:val="clear" w:color="auto" w:fill="FEED00"/>
          </w:tcPr>
          <w:p w14:paraId="687597F8" w14:textId="45F8B569"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1,3</w:t>
            </w:r>
          </w:p>
        </w:tc>
      </w:tr>
      <w:tr w:rsidR="00B15D8E" w14:paraId="00450592" w14:textId="77777777" w:rsidTr="00CC22DF">
        <w:tc>
          <w:tcPr>
            <w:tcW w:w="898" w:type="dxa"/>
          </w:tcPr>
          <w:p w14:paraId="675FBFB3" w14:textId="715460B9"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Bold"/>
                <w:b/>
                <w:bCs/>
                <w:sz w:val="15"/>
                <w:szCs w:val="15"/>
              </w:rPr>
              <w:t>1951</w:t>
            </w:r>
          </w:p>
        </w:tc>
        <w:tc>
          <w:tcPr>
            <w:tcW w:w="1075" w:type="dxa"/>
          </w:tcPr>
          <w:p w14:paraId="5F4A2A18" w14:textId="4D0F8268"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 xml:space="preserve">10,4 </w:t>
            </w:r>
          </w:p>
        </w:tc>
        <w:tc>
          <w:tcPr>
            <w:tcW w:w="957" w:type="dxa"/>
          </w:tcPr>
          <w:p w14:paraId="3B3DB30F" w14:textId="670AAA84"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9,2</w:t>
            </w:r>
          </w:p>
        </w:tc>
        <w:tc>
          <w:tcPr>
            <w:tcW w:w="878" w:type="dxa"/>
          </w:tcPr>
          <w:p w14:paraId="490B2635" w14:textId="1F3C88E2"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Bold"/>
                <w:b/>
                <w:bCs/>
                <w:sz w:val="15"/>
                <w:szCs w:val="15"/>
              </w:rPr>
              <w:t>1974</w:t>
            </w:r>
          </w:p>
        </w:tc>
        <w:tc>
          <w:tcPr>
            <w:tcW w:w="1075" w:type="dxa"/>
          </w:tcPr>
          <w:p w14:paraId="4BC59E56" w14:textId="705C1466"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 xml:space="preserve">2,6 </w:t>
            </w:r>
          </w:p>
        </w:tc>
        <w:tc>
          <w:tcPr>
            <w:tcW w:w="958" w:type="dxa"/>
          </w:tcPr>
          <w:p w14:paraId="77583656" w14:textId="17878624"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7,2</w:t>
            </w:r>
          </w:p>
        </w:tc>
        <w:tc>
          <w:tcPr>
            <w:tcW w:w="878" w:type="dxa"/>
          </w:tcPr>
          <w:p w14:paraId="0E296D11" w14:textId="4531DAEF"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Bold"/>
                <w:b/>
                <w:bCs/>
                <w:sz w:val="15"/>
                <w:szCs w:val="15"/>
              </w:rPr>
              <w:t>1997</w:t>
            </w:r>
          </w:p>
        </w:tc>
        <w:tc>
          <w:tcPr>
            <w:tcW w:w="1075" w:type="dxa"/>
          </w:tcPr>
          <w:p w14:paraId="6649E756" w14:textId="24A8E415"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 xml:space="preserve">12,7 </w:t>
            </w:r>
          </w:p>
        </w:tc>
        <w:tc>
          <w:tcPr>
            <w:tcW w:w="958" w:type="dxa"/>
          </w:tcPr>
          <w:p w14:paraId="3C3CB6FE" w14:textId="7E42CA9F"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2,0</w:t>
            </w:r>
          </w:p>
        </w:tc>
      </w:tr>
      <w:tr w:rsidR="00B15D8E" w14:paraId="68F651B4" w14:textId="77777777" w:rsidTr="00CC22DF">
        <w:tc>
          <w:tcPr>
            <w:tcW w:w="898" w:type="dxa"/>
            <w:shd w:val="clear" w:color="auto" w:fill="FEED00"/>
          </w:tcPr>
          <w:p w14:paraId="72F3569A" w14:textId="63644386"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Bold"/>
                <w:b/>
                <w:bCs/>
                <w:sz w:val="15"/>
                <w:szCs w:val="15"/>
              </w:rPr>
              <w:t>1952</w:t>
            </w:r>
          </w:p>
        </w:tc>
        <w:tc>
          <w:tcPr>
            <w:tcW w:w="1075" w:type="dxa"/>
            <w:shd w:val="clear" w:color="auto" w:fill="FEED00"/>
          </w:tcPr>
          <w:p w14:paraId="7C4E445C" w14:textId="187F5EFF"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 xml:space="preserve">9,5 </w:t>
            </w:r>
          </w:p>
        </w:tc>
        <w:tc>
          <w:tcPr>
            <w:tcW w:w="957" w:type="dxa"/>
            <w:shd w:val="clear" w:color="auto" w:fill="FEED00"/>
          </w:tcPr>
          <w:p w14:paraId="61A173BB" w14:textId="696C2504"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-0,3</w:t>
            </w:r>
          </w:p>
        </w:tc>
        <w:tc>
          <w:tcPr>
            <w:tcW w:w="878" w:type="dxa"/>
            <w:shd w:val="clear" w:color="auto" w:fill="FEED00"/>
          </w:tcPr>
          <w:p w14:paraId="09E1C5F2" w14:textId="74D4F61F"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Bold"/>
                <w:b/>
                <w:bCs/>
                <w:sz w:val="15"/>
                <w:szCs w:val="15"/>
              </w:rPr>
              <w:t>1975</w:t>
            </w:r>
          </w:p>
        </w:tc>
        <w:tc>
          <w:tcPr>
            <w:tcW w:w="1075" w:type="dxa"/>
            <w:shd w:val="clear" w:color="auto" w:fill="FEED00"/>
          </w:tcPr>
          <w:p w14:paraId="357395CE" w14:textId="28F30424"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 xml:space="preserve">4,7 </w:t>
            </w:r>
          </w:p>
        </w:tc>
        <w:tc>
          <w:tcPr>
            <w:tcW w:w="958" w:type="dxa"/>
            <w:shd w:val="clear" w:color="auto" w:fill="FEED00"/>
          </w:tcPr>
          <w:p w14:paraId="2E46BEDA" w14:textId="0DF29CBE"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5,4</w:t>
            </w:r>
          </w:p>
        </w:tc>
        <w:tc>
          <w:tcPr>
            <w:tcW w:w="878" w:type="dxa"/>
            <w:shd w:val="clear" w:color="auto" w:fill="FEED00"/>
          </w:tcPr>
          <w:p w14:paraId="6B1481D1" w14:textId="2F73D953"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Bold"/>
                <w:b/>
                <w:bCs/>
                <w:sz w:val="15"/>
                <w:szCs w:val="15"/>
              </w:rPr>
              <w:t>1998</w:t>
            </w:r>
          </w:p>
        </w:tc>
        <w:tc>
          <w:tcPr>
            <w:tcW w:w="1075" w:type="dxa"/>
            <w:shd w:val="clear" w:color="auto" w:fill="FEED00"/>
          </w:tcPr>
          <w:p w14:paraId="0CC519DA" w14:textId="0A6516C1"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 xml:space="preserve">12,3 </w:t>
            </w:r>
          </w:p>
        </w:tc>
        <w:tc>
          <w:tcPr>
            <w:tcW w:w="958" w:type="dxa"/>
            <w:shd w:val="clear" w:color="auto" w:fill="FEED00"/>
          </w:tcPr>
          <w:p w14:paraId="007D7B78" w14:textId="6326962B"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0,9</w:t>
            </w:r>
          </w:p>
        </w:tc>
      </w:tr>
      <w:tr w:rsidR="00B15D8E" w14:paraId="4917EF46" w14:textId="77777777" w:rsidTr="00CC22DF">
        <w:tc>
          <w:tcPr>
            <w:tcW w:w="898" w:type="dxa"/>
          </w:tcPr>
          <w:p w14:paraId="4CA95F8D" w14:textId="5A5BE854"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Bold"/>
                <w:b/>
                <w:bCs/>
                <w:sz w:val="15"/>
                <w:szCs w:val="15"/>
              </w:rPr>
              <w:t>1953</w:t>
            </w:r>
          </w:p>
        </w:tc>
        <w:tc>
          <w:tcPr>
            <w:tcW w:w="1075" w:type="dxa"/>
          </w:tcPr>
          <w:p w14:paraId="18C37E84" w14:textId="12ECD043"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 xml:space="preserve">8,4 </w:t>
            </w:r>
          </w:p>
        </w:tc>
        <w:tc>
          <w:tcPr>
            <w:tcW w:w="957" w:type="dxa"/>
          </w:tcPr>
          <w:p w14:paraId="1ED93CB6" w14:textId="21FE437A"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-1,3</w:t>
            </w:r>
          </w:p>
        </w:tc>
        <w:tc>
          <w:tcPr>
            <w:tcW w:w="878" w:type="dxa"/>
          </w:tcPr>
          <w:p w14:paraId="0EFAD2C9" w14:textId="326F6E72"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Bold"/>
                <w:b/>
                <w:bCs/>
                <w:sz w:val="15"/>
                <w:szCs w:val="15"/>
              </w:rPr>
              <w:t>1976</w:t>
            </w:r>
          </w:p>
        </w:tc>
        <w:tc>
          <w:tcPr>
            <w:tcW w:w="1075" w:type="dxa"/>
          </w:tcPr>
          <w:p w14:paraId="47751321" w14:textId="77ECDE0F"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 xml:space="preserve">4,6 </w:t>
            </w:r>
          </w:p>
        </w:tc>
        <w:tc>
          <w:tcPr>
            <w:tcW w:w="958" w:type="dxa"/>
          </w:tcPr>
          <w:p w14:paraId="716BB5F9" w14:textId="550FCCB3"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3,2</w:t>
            </w:r>
          </w:p>
        </w:tc>
        <w:tc>
          <w:tcPr>
            <w:tcW w:w="878" w:type="dxa"/>
          </w:tcPr>
          <w:p w14:paraId="4C30FB41" w14:textId="5A2CD48E"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Bold"/>
                <w:b/>
                <w:bCs/>
                <w:sz w:val="15"/>
                <w:szCs w:val="15"/>
              </w:rPr>
              <w:t>1999</w:t>
            </w:r>
          </w:p>
        </w:tc>
        <w:tc>
          <w:tcPr>
            <w:tcW w:w="1075" w:type="dxa"/>
          </w:tcPr>
          <w:p w14:paraId="0E23D8BD" w14:textId="04E32A26"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 xml:space="preserve">11,7 </w:t>
            </w:r>
          </w:p>
        </w:tc>
        <w:tc>
          <w:tcPr>
            <w:tcW w:w="958" w:type="dxa"/>
          </w:tcPr>
          <w:p w14:paraId="103E8243" w14:textId="19D4B020"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0,6</w:t>
            </w:r>
          </w:p>
        </w:tc>
      </w:tr>
      <w:tr w:rsidR="00B15D8E" w14:paraId="2DEDAFDC" w14:textId="77777777" w:rsidTr="00CC22DF">
        <w:tc>
          <w:tcPr>
            <w:tcW w:w="898" w:type="dxa"/>
            <w:shd w:val="clear" w:color="auto" w:fill="FEED00"/>
          </w:tcPr>
          <w:p w14:paraId="36432D57" w14:textId="0F757792"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Bold"/>
                <w:b/>
                <w:bCs/>
                <w:sz w:val="15"/>
                <w:szCs w:val="15"/>
              </w:rPr>
              <w:t>1954</w:t>
            </w:r>
          </w:p>
        </w:tc>
        <w:tc>
          <w:tcPr>
            <w:tcW w:w="1075" w:type="dxa"/>
            <w:shd w:val="clear" w:color="auto" w:fill="FEED00"/>
          </w:tcPr>
          <w:p w14:paraId="4A2F4570" w14:textId="2878DB81"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 xml:space="preserve">7,6 </w:t>
            </w:r>
          </w:p>
        </w:tc>
        <w:tc>
          <w:tcPr>
            <w:tcW w:w="957" w:type="dxa"/>
            <w:shd w:val="clear" w:color="auto" w:fill="FEED00"/>
          </w:tcPr>
          <w:p w14:paraId="1287A392" w14:textId="3F89B7EF"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-3,9</w:t>
            </w:r>
          </w:p>
        </w:tc>
        <w:tc>
          <w:tcPr>
            <w:tcW w:w="878" w:type="dxa"/>
            <w:shd w:val="clear" w:color="auto" w:fill="FEED00"/>
          </w:tcPr>
          <w:p w14:paraId="789ACF42" w14:textId="21621E06"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Bold"/>
                <w:b/>
                <w:bCs/>
                <w:sz w:val="15"/>
                <w:szCs w:val="15"/>
              </w:rPr>
              <w:t>1977</w:t>
            </w:r>
          </w:p>
        </w:tc>
        <w:tc>
          <w:tcPr>
            <w:tcW w:w="1075" w:type="dxa"/>
            <w:shd w:val="clear" w:color="auto" w:fill="FEED00"/>
          </w:tcPr>
          <w:p w14:paraId="660E1228" w14:textId="4C26899F"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 xml:space="preserve">4,5 </w:t>
            </w:r>
          </w:p>
        </w:tc>
        <w:tc>
          <w:tcPr>
            <w:tcW w:w="958" w:type="dxa"/>
            <w:shd w:val="clear" w:color="auto" w:fill="FEED00"/>
          </w:tcPr>
          <w:p w14:paraId="44DB7A0C" w14:textId="7D7A7080"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3,9</w:t>
            </w:r>
          </w:p>
        </w:tc>
        <w:tc>
          <w:tcPr>
            <w:tcW w:w="878" w:type="dxa"/>
            <w:shd w:val="clear" w:color="auto" w:fill="FEED00"/>
          </w:tcPr>
          <w:p w14:paraId="32E5FF51" w14:textId="5D3AD33D"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Bold"/>
                <w:b/>
                <w:bCs/>
                <w:sz w:val="15"/>
                <w:szCs w:val="15"/>
              </w:rPr>
              <w:t>2000</w:t>
            </w:r>
          </w:p>
        </w:tc>
        <w:tc>
          <w:tcPr>
            <w:tcW w:w="1075" w:type="dxa"/>
            <w:shd w:val="clear" w:color="auto" w:fill="FEED00"/>
          </w:tcPr>
          <w:p w14:paraId="3C80A1EA" w14:textId="34C6A500"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 xml:space="preserve">10,7 </w:t>
            </w:r>
          </w:p>
        </w:tc>
        <w:tc>
          <w:tcPr>
            <w:tcW w:w="958" w:type="dxa"/>
            <w:shd w:val="clear" w:color="auto" w:fill="FEED00"/>
          </w:tcPr>
          <w:p w14:paraId="2DD05F88" w14:textId="43B4C2AC"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1,4</w:t>
            </w:r>
          </w:p>
        </w:tc>
      </w:tr>
      <w:tr w:rsidR="00B15D8E" w14:paraId="79EDAEB2" w14:textId="77777777" w:rsidTr="00CC22DF">
        <w:tc>
          <w:tcPr>
            <w:tcW w:w="898" w:type="dxa"/>
          </w:tcPr>
          <w:p w14:paraId="12806164" w14:textId="089D19E1"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Bold"/>
                <w:b/>
                <w:bCs/>
                <w:sz w:val="15"/>
                <w:szCs w:val="15"/>
              </w:rPr>
              <w:t>1955</w:t>
            </w:r>
          </w:p>
        </w:tc>
        <w:tc>
          <w:tcPr>
            <w:tcW w:w="1075" w:type="dxa"/>
          </w:tcPr>
          <w:p w14:paraId="62250454" w14:textId="0DF6749B"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 xml:space="preserve">5,6 </w:t>
            </w:r>
          </w:p>
        </w:tc>
        <w:tc>
          <w:tcPr>
            <w:tcW w:w="957" w:type="dxa"/>
          </w:tcPr>
          <w:p w14:paraId="412403E6" w14:textId="42E403B3"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1,1</w:t>
            </w:r>
          </w:p>
        </w:tc>
        <w:tc>
          <w:tcPr>
            <w:tcW w:w="878" w:type="dxa"/>
          </w:tcPr>
          <w:p w14:paraId="1DB67249" w14:textId="406EB601"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Bold"/>
                <w:b/>
                <w:bCs/>
                <w:sz w:val="15"/>
                <w:szCs w:val="15"/>
              </w:rPr>
              <w:t>1978</w:t>
            </w:r>
          </w:p>
        </w:tc>
        <w:tc>
          <w:tcPr>
            <w:tcW w:w="1075" w:type="dxa"/>
          </w:tcPr>
          <w:p w14:paraId="7B4B2B4A" w14:textId="7249253E"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 xml:space="preserve">4,3 </w:t>
            </w:r>
          </w:p>
        </w:tc>
        <w:tc>
          <w:tcPr>
            <w:tcW w:w="958" w:type="dxa"/>
          </w:tcPr>
          <w:p w14:paraId="0DC8AEBF" w14:textId="7B26B667"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2,4</w:t>
            </w:r>
          </w:p>
        </w:tc>
        <w:tc>
          <w:tcPr>
            <w:tcW w:w="878" w:type="dxa"/>
          </w:tcPr>
          <w:p w14:paraId="66E48869" w14:textId="1730896D"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Bold"/>
                <w:b/>
                <w:bCs/>
                <w:sz w:val="15"/>
                <w:szCs w:val="15"/>
              </w:rPr>
              <w:t>2001</w:t>
            </w:r>
          </w:p>
        </w:tc>
        <w:tc>
          <w:tcPr>
            <w:tcW w:w="1075" w:type="dxa"/>
          </w:tcPr>
          <w:p w14:paraId="685218BB" w14:textId="3C14E5C0"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 xml:space="preserve">10,3 </w:t>
            </w:r>
          </w:p>
        </w:tc>
        <w:tc>
          <w:tcPr>
            <w:tcW w:w="958" w:type="dxa"/>
          </w:tcPr>
          <w:p w14:paraId="308BB00D" w14:textId="08BED7B6"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2,0</w:t>
            </w:r>
          </w:p>
        </w:tc>
      </w:tr>
      <w:tr w:rsidR="00B15D8E" w14:paraId="32E3E590" w14:textId="77777777" w:rsidTr="00CC22DF">
        <w:tc>
          <w:tcPr>
            <w:tcW w:w="898" w:type="dxa"/>
            <w:shd w:val="clear" w:color="auto" w:fill="FEED00"/>
          </w:tcPr>
          <w:p w14:paraId="2E53E9E9" w14:textId="1C66163E"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Bold"/>
                <w:b/>
                <w:bCs/>
                <w:sz w:val="15"/>
                <w:szCs w:val="15"/>
              </w:rPr>
              <w:t>1956</w:t>
            </w:r>
          </w:p>
        </w:tc>
        <w:tc>
          <w:tcPr>
            <w:tcW w:w="1075" w:type="dxa"/>
            <w:shd w:val="clear" w:color="auto" w:fill="FEED00"/>
          </w:tcPr>
          <w:p w14:paraId="6441643D" w14:textId="13701A0C"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 xml:space="preserve">4,4 </w:t>
            </w:r>
          </w:p>
        </w:tc>
        <w:tc>
          <w:tcPr>
            <w:tcW w:w="957" w:type="dxa"/>
            <w:shd w:val="clear" w:color="auto" w:fill="FEED00"/>
          </w:tcPr>
          <w:p w14:paraId="3BAF54C6" w14:textId="4EA409D0"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1,6</w:t>
            </w:r>
          </w:p>
        </w:tc>
        <w:tc>
          <w:tcPr>
            <w:tcW w:w="878" w:type="dxa"/>
            <w:shd w:val="clear" w:color="auto" w:fill="FEED00"/>
          </w:tcPr>
          <w:p w14:paraId="5053F6E3" w14:textId="06194709"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Bold"/>
                <w:b/>
                <w:bCs/>
                <w:sz w:val="15"/>
                <w:szCs w:val="15"/>
              </w:rPr>
              <w:t>1979</w:t>
            </w:r>
          </w:p>
        </w:tc>
        <w:tc>
          <w:tcPr>
            <w:tcW w:w="1075" w:type="dxa"/>
            <w:shd w:val="clear" w:color="auto" w:fill="FEED00"/>
          </w:tcPr>
          <w:p w14:paraId="40333CD4" w14:textId="12C6C8EA"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 xml:space="preserve">3,8 </w:t>
            </w:r>
          </w:p>
        </w:tc>
        <w:tc>
          <w:tcPr>
            <w:tcW w:w="958" w:type="dxa"/>
            <w:shd w:val="clear" w:color="auto" w:fill="FEED00"/>
          </w:tcPr>
          <w:p w14:paraId="08B16D1B" w14:textId="6F1665AA"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3,5</w:t>
            </w:r>
          </w:p>
        </w:tc>
        <w:tc>
          <w:tcPr>
            <w:tcW w:w="878" w:type="dxa"/>
            <w:shd w:val="clear" w:color="auto" w:fill="FEED00"/>
          </w:tcPr>
          <w:p w14:paraId="19B3615A" w14:textId="49470E7D"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Bold"/>
                <w:b/>
                <w:bCs/>
                <w:sz w:val="15"/>
                <w:szCs w:val="15"/>
              </w:rPr>
              <w:t>2002</w:t>
            </w:r>
          </w:p>
        </w:tc>
        <w:tc>
          <w:tcPr>
            <w:tcW w:w="1075" w:type="dxa"/>
            <w:shd w:val="clear" w:color="auto" w:fill="FEED00"/>
          </w:tcPr>
          <w:p w14:paraId="11AA8A8C" w14:textId="4603A242"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 xml:space="preserve">10,8 </w:t>
            </w:r>
          </w:p>
        </w:tc>
        <w:tc>
          <w:tcPr>
            <w:tcW w:w="958" w:type="dxa"/>
            <w:shd w:val="clear" w:color="auto" w:fill="FEED00"/>
          </w:tcPr>
          <w:p w14:paraId="5691CFF6" w14:textId="14749772"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1,3</w:t>
            </w:r>
          </w:p>
        </w:tc>
      </w:tr>
      <w:tr w:rsidR="00B15D8E" w14:paraId="40CD3228" w14:textId="77777777" w:rsidTr="00CC22DF">
        <w:tc>
          <w:tcPr>
            <w:tcW w:w="898" w:type="dxa"/>
          </w:tcPr>
          <w:p w14:paraId="6BEA8CF1" w14:textId="57E29F3E"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Bold"/>
                <w:b/>
                <w:bCs/>
                <w:sz w:val="15"/>
                <w:szCs w:val="15"/>
              </w:rPr>
              <w:t>1957</w:t>
            </w:r>
          </w:p>
        </w:tc>
        <w:tc>
          <w:tcPr>
            <w:tcW w:w="1075" w:type="dxa"/>
          </w:tcPr>
          <w:p w14:paraId="202DEC45" w14:textId="2C03FB85"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 xml:space="preserve">3,7 </w:t>
            </w:r>
          </w:p>
        </w:tc>
        <w:tc>
          <w:tcPr>
            <w:tcW w:w="957" w:type="dxa"/>
          </w:tcPr>
          <w:p w14:paraId="1CCDCA24" w14:textId="2FD4E9AB"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2,6</w:t>
            </w:r>
          </w:p>
        </w:tc>
        <w:tc>
          <w:tcPr>
            <w:tcW w:w="878" w:type="dxa"/>
          </w:tcPr>
          <w:p w14:paraId="1DD08DF6" w14:textId="1615227C"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Bold"/>
                <w:b/>
                <w:bCs/>
                <w:sz w:val="15"/>
                <w:szCs w:val="15"/>
              </w:rPr>
              <w:t>1980</w:t>
            </w:r>
          </w:p>
        </w:tc>
        <w:tc>
          <w:tcPr>
            <w:tcW w:w="1075" w:type="dxa"/>
          </w:tcPr>
          <w:p w14:paraId="64E2E9C3" w14:textId="43D8AEF6"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 xml:space="preserve">3,8 </w:t>
            </w:r>
          </w:p>
        </w:tc>
        <w:tc>
          <w:tcPr>
            <w:tcW w:w="958" w:type="dxa"/>
          </w:tcPr>
          <w:p w14:paraId="702EBE0C" w14:textId="6ABCEAE2"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5,2</w:t>
            </w:r>
          </w:p>
        </w:tc>
        <w:tc>
          <w:tcPr>
            <w:tcW w:w="878" w:type="dxa"/>
          </w:tcPr>
          <w:p w14:paraId="4C3DB4E4" w14:textId="6C8BBFEF"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Bold"/>
                <w:b/>
                <w:bCs/>
                <w:sz w:val="15"/>
                <w:szCs w:val="15"/>
              </w:rPr>
              <w:t>2003</w:t>
            </w:r>
          </w:p>
        </w:tc>
        <w:tc>
          <w:tcPr>
            <w:tcW w:w="1075" w:type="dxa"/>
          </w:tcPr>
          <w:p w14:paraId="76516345" w14:textId="484F19E0"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 xml:space="preserve">11,6 </w:t>
            </w:r>
          </w:p>
        </w:tc>
        <w:tc>
          <w:tcPr>
            <w:tcW w:w="958" w:type="dxa"/>
          </w:tcPr>
          <w:p w14:paraId="2B5A431B" w14:textId="1DA08F80"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1,1</w:t>
            </w:r>
          </w:p>
        </w:tc>
      </w:tr>
      <w:tr w:rsidR="00B15D8E" w14:paraId="0B1FBECE" w14:textId="77777777" w:rsidTr="00CC22DF">
        <w:tc>
          <w:tcPr>
            <w:tcW w:w="898" w:type="dxa"/>
            <w:shd w:val="clear" w:color="auto" w:fill="FEED00"/>
          </w:tcPr>
          <w:p w14:paraId="1B0A1016" w14:textId="33ADF545"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Bold"/>
                <w:b/>
                <w:bCs/>
                <w:sz w:val="15"/>
                <w:szCs w:val="15"/>
              </w:rPr>
              <w:t>1958</w:t>
            </w:r>
          </w:p>
        </w:tc>
        <w:tc>
          <w:tcPr>
            <w:tcW w:w="1075" w:type="dxa"/>
            <w:shd w:val="clear" w:color="auto" w:fill="FEED00"/>
          </w:tcPr>
          <w:p w14:paraId="6C17D084" w14:textId="33A734C1"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 xml:space="preserve">3,7 </w:t>
            </w:r>
          </w:p>
        </w:tc>
        <w:tc>
          <w:tcPr>
            <w:tcW w:w="957" w:type="dxa"/>
            <w:shd w:val="clear" w:color="auto" w:fill="FEED00"/>
          </w:tcPr>
          <w:p w14:paraId="68A73E74" w14:textId="309F9E0A"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2,3</w:t>
            </w:r>
          </w:p>
        </w:tc>
        <w:tc>
          <w:tcPr>
            <w:tcW w:w="878" w:type="dxa"/>
            <w:shd w:val="clear" w:color="auto" w:fill="FEED00"/>
          </w:tcPr>
          <w:p w14:paraId="7313D48F" w14:textId="767EBBDF"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Bold"/>
                <w:b/>
                <w:bCs/>
                <w:sz w:val="15"/>
                <w:szCs w:val="15"/>
              </w:rPr>
              <w:t>1981</w:t>
            </w:r>
          </w:p>
        </w:tc>
        <w:tc>
          <w:tcPr>
            <w:tcW w:w="1075" w:type="dxa"/>
            <w:shd w:val="clear" w:color="auto" w:fill="FEED00"/>
          </w:tcPr>
          <w:p w14:paraId="5ACE6BC8" w14:textId="76FA5CD5"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 xml:space="preserve">5,5 </w:t>
            </w:r>
          </w:p>
        </w:tc>
        <w:tc>
          <w:tcPr>
            <w:tcW w:w="958" w:type="dxa"/>
            <w:shd w:val="clear" w:color="auto" w:fill="FEED00"/>
          </w:tcPr>
          <w:p w14:paraId="3C09BEFC" w14:textId="7DC85D46"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5,2</w:t>
            </w:r>
          </w:p>
        </w:tc>
        <w:tc>
          <w:tcPr>
            <w:tcW w:w="878" w:type="dxa"/>
            <w:shd w:val="clear" w:color="auto" w:fill="FEED00"/>
          </w:tcPr>
          <w:p w14:paraId="5CF08F87" w14:textId="0AAF370D"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Bold"/>
                <w:b/>
                <w:bCs/>
                <w:sz w:val="15"/>
                <w:szCs w:val="15"/>
              </w:rPr>
              <w:t>2004</w:t>
            </w:r>
          </w:p>
        </w:tc>
        <w:tc>
          <w:tcPr>
            <w:tcW w:w="1075" w:type="dxa"/>
            <w:shd w:val="clear" w:color="auto" w:fill="FEED00"/>
          </w:tcPr>
          <w:p w14:paraId="13BF20E9" w14:textId="7EDFA17F"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 xml:space="preserve">11,7 </w:t>
            </w:r>
          </w:p>
        </w:tc>
        <w:tc>
          <w:tcPr>
            <w:tcW w:w="958" w:type="dxa"/>
            <w:shd w:val="clear" w:color="auto" w:fill="FEED00"/>
          </w:tcPr>
          <w:p w14:paraId="265E4F95" w14:textId="644372AE"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1,7</w:t>
            </w:r>
          </w:p>
        </w:tc>
      </w:tr>
      <w:tr w:rsidR="00B15D8E" w14:paraId="289E27DA" w14:textId="77777777" w:rsidTr="00CC22DF">
        <w:tc>
          <w:tcPr>
            <w:tcW w:w="898" w:type="dxa"/>
          </w:tcPr>
          <w:p w14:paraId="5BE796BD" w14:textId="0A936CA2"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Bold"/>
                <w:b/>
                <w:bCs/>
                <w:sz w:val="15"/>
                <w:szCs w:val="15"/>
              </w:rPr>
              <w:t>1959</w:t>
            </w:r>
          </w:p>
        </w:tc>
        <w:tc>
          <w:tcPr>
            <w:tcW w:w="1075" w:type="dxa"/>
          </w:tcPr>
          <w:p w14:paraId="5E8EA973" w14:textId="54BB3A26"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 xml:space="preserve">2,6 </w:t>
            </w:r>
          </w:p>
        </w:tc>
        <w:tc>
          <w:tcPr>
            <w:tcW w:w="957" w:type="dxa"/>
          </w:tcPr>
          <w:p w14:paraId="220783FC" w14:textId="2DB29F98"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0,5</w:t>
            </w:r>
          </w:p>
        </w:tc>
        <w:tc>
          <w:tcPr>
            <w:tcW w:w="878" w:type="dxa"/>
          </w:tcPr>
          <w:p w14:paraId="155F20E8" w14:textId="38A15140"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Bold"/>
                <w:b/>
                <w:bCs/>
                <w:sz w:val="15"/>
                <w:szCs w:val="15"/>
              </w:rPr>
              <w:t>1982</w:t>
            </w:r>
          </w:p>
        </w:tc>
        <w:tc>
          <w:tcPr>
            <w:tcW w:w="1075" w:type="dxa"/>
          </w:tcPr>
          <w:p w14:paraId="7D7E2D42" w14:textId="1FB6E596"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 xml:space="preserve">7,5 </w:t>
            </w:r>
          </w:p>
        </w:tc>
        <w:tc>
          <w:tcPr>
            <w:tcW w:w="958" w:type="dxa"/>
          </w:tcPr>
          <w:p w14:paraId="6C9B3A08" w14:textId="46925D18"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4,8</w:t>
            </w:r>
          </w:p>
        </w:tc>
        <w:tc>
          <w:tcPr>
            <w:tcW w:w="878" w:type="dxa"/>
          </w:tcPr>
          <w:p w14:paraId="1A0E24E4" w14:textId="780A44FF"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Bold"/>
                <w:b/>
                <w:bCs/>
                <w:sz w:val="15"/>
                <w:szCs w:val="15"/>
              </w:rPr>
              <w:t>2005</w:t>
            </w:r>
          </w:p>
        </w:tc>
        <w:tc>
          <w:tcPr>
            <w:tcW w:w="1075" w:type="dxa"/>
          </w:tcPr>
          <w:p w14:paraId="2BAA0C88" w14:textId="3D05DE54"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 xml:space="preserve">13,0 </w:t>
            </w:r>
          </w:p>
        </w:tc>
        <w:tc>
          <w:tcPr>
            <w:tcW w:w="958" w:type="dxa"/>
          </w:tcPr>
          <w:p w14:paraId="35AF7EBF" w14:textId="252F0160"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1,5</w:t>
            </w:r>
          </w:p>
        </w:tc>
      </w:tr>
      <w:tr w:rsidR="00B15D8E" w14:paraId="756DAD94" w14:textId="77777777" w:rsidTr="00CC22DF">
        <w:tc>
          <w:tcPr>
            <w:tcW w:w="898" w:type="dxa"/>
            <w:shd w:val="clear" w:color="auto" w:fill="FEED00"/>
          </w:tcPr>
          <w:p w14:paraId="566B8E17" w14:textId="175496F2"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Bold"/>
                <w:b/>
                <w:bCs/>
                <w:sz w:val="15"/>
                <w:szCs w:val="15"/>
              </w:rPr>
              <w:t>1960</w:t>
            </w:r>
          </w:p>
        </w:tc>
        <w:tc>
          <w:tcPr>
            <w:tcW w:w="1075" w:type="dxa"/>
            <w:shd w:val="clear" w:color="auto" w:fill="FEED00"/>
          </w:tcPr>
          <w:p w14:paraId="7736F586" w14:textId="232F77F0"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 xml:space="preserve">1,3 </w:t>
            </w:r>
          </w:p>
        </w:tc>
        <w:tc>
          <w:tcPr>
            <w:tcW w:w="957" w:type="dxa"/>
            <w:shd w:val="clear" w:color="auto" w:fill="FEED00"/>
          </w:tcPr>
          <w:p w14:paraId="12760879" w14:textId="6F190A9A"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0,5</w:t>
            </w:r>
          </w:p>
        </w:tc>
        <w:tc>
          <w:tcPr>
            <w:tcW w:w="878" w:type="dxa"/>
            <w:shd w:val="clear" w:color="auto" w:fill="FEED00"/>
          </w:tcPr>
          <w:p w14:paraId="552FC7EC" w14:textId="2EB89CAC"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Bold"/>
                <w:b/>
                <w:bCs/>
                <w:sz w:val="15"/>
                <w:szCs w:val="15"/>
              </w:rPr>
              <w:t>1983</w:t>
            </w:r>
          </w:p>
        </w:tc>
        <w:tc>
          <w:tcPr>
            <w:tcW w:w="1075" w:type="dxa"/>
            <w:shd w:val="clear" w:color="auto" w:fill="FEED00"/>
          </w:tcPr>
          <w:p w14:paraId="25158AE4" w14:textId="7B5F4D85"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 xml:space="preserve">9,1 </w:t>
            </w:r>
          </w:p>
        </w:tc>
        <w:tc>
          <w:tcPr>
            <w:tcW w:w="958" w:type="dxa"/>
            <w:shd w:val="clear" w:color="auto" w:fill="FEED00"/>
          </w:tcPr>
          <w:p w14:paraId="467E24B8" w14:textId="122DDBC2"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2,7</w:t>
            </w:r>
          </w:p>
        </w:tc>
        <w:tc>
          <w:tcPr>
            <w:tcW w:w="878" w:type="dxa"/>
            <w:shd w:val="clear" w:color="auto" w:fill="FEED00"/>
          </w:tcPr>
          <w:p w14:paraId="70538327" w14:textId="04545F72"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Bold"/>
                <w:b/>
                <w:bCs/>
                <w:sz w:val="15"/>
                <w:szCs w:val="15"/>
              </w:rPr>
              <w:t>2006</w:t>
            </w:r>
          </w:p>
        </w:tc>
        <w:tc>
          <w:tcPr>
            <w:tcW w:w="1075" w:type="dxa"/>
            <w:shd w:val="clear" w:color="auto" w:fill="FEED00"/>
          </w:tcPr>
          <w:p w14:paraId="4EDB66FA" w14:textId="33DE5435"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 xml:space="preserve">12,0 </w:t>
            </w:r>
          </w:p>
        </w:tc>
        <w:tc>
          <w:tcPr>
            <w:tcW w:w="958" w:type="dxa"/>
            <w:shd w:val="clear" w:color="auto" w:fill="FEED00"/>
          </w:tcPr>
          <w:p w14:paraId="520A6FBE" w14:textId="73514D24"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1,6</w:t>
            </w:r>
          </w:p>
        </w:tc>
      </w:tr>
      <w:tr w:rsidR="00B15D8E" w14:paraId="6F4ACEE9" w14:textId="77777777" w:rsidTr="00CC22DF">
        <w:tc>
          <w:tcPr>
            <w:tcW w:w="898" w:type="dxa"/>
          </w:tcPr>
          <w:p w14:paraId="0BA8F3A4" w14:textId="110960C2"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Bold"/>
                <w:b/>
                <w:bCs/>
                <w:sz w:val="15"/>
                <w:szCs w:val="15"/>
              </w:rPr>
              <w:t>1961</w:t>
            </w:r>
          </w:p>
        </w:tc>
        <w:tc>
          <w:tcPr>
            <w:tcW w:w="1075" w:type="dxa"/>
          </w:tcPr>
          <w:p w14:paraId="6B978B34" w14:textId="2FD19D90"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 xml:space="preserve">0,8 </w:t>
            </w:r>
          </w:p>
        </w:tc>
        <w:tc>
          <w:tcPr>
            <w:tcW w:w="957" w:type="dxa"/>
          </w:tcPr>
          <w:p w14:paraId="2FC445AC" w14:textId="179661CD"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2,2</w:t>
            </w:r>
          </w:p>
        </w:tc>
        <w:tc>
          <w:tcPr>
            <w:tcW w:w="878" w:type="dxa"/>
          </w:tcPr>
          <w:p w14:paraId="17B1B406" w14:textId="7F32A9B2"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Bold"/>
                <w:b/>
                <w:bCs/>
                <w:sz w:val="15"/>
                <w:szCs w:val="15"/>
              </w:rPr>
              <w:t>1984</w:t>
            </w:r>
          </w:p>
        </w:tc>
        <w:tc>
          <w:tcPr>
            <w:tcW w:w="1075" w:type="dxa"/>
          </w:tcPr>
          <w:p w14:paraId="17540A2C" w14:textId="55A502A8"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9,1</w:t>
            </w:r>
          </w:p>
        </w:tc>
        <w:tc>
          <w:tcPr>
            <w:tcW w:w="958" w:type="dxa"/>
          </w:tcPr>
          <w:p w14:paraId="0E16F21C" w14:textId="3663BD93"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2,0</w:t>
            </w:r>
          </w:p>
        </w:tc>
        <w:tc>
          <w:tcPr>
            <w:tcW w:w="878" w:type="dxa"/>
          </w:tcPr>
          <w:p w14:paraId="2152D186" w14:textId="2B6C8260"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Bold"/>
                <w:b/>
                <w:bCs/>
                <w:sz w:val="15"/>
                <w:szCs w:val="15"/>
              </w:rPr>
              <w:t>2007</w:t>
            </w:r>
          </w:p>
        </w:tc>
        <w:tc>
          <w:tcPr>
            <w:tcW w:w="1075" w:type="dxa"/>
          </w:tcPr>
          <w:p w14:paraId="013CC1BF" w14:textId="7CD26BC5"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 xml:space="preserve">10,1 </w:t>
            </w:r>
          </w:p>
        </w:tc>
        <w:tc>
          <w:tcPr>
            <w:tcW w:w="958" w:type="dxa"/>
          </w:tcPr>
          <w:p w14:paraId="12E17B7B" w14:textId="2F7D6F09"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2,3</w:t>
            </w:r>
          </w:p>
        </w:tc>
      </w:tr>
      <w:tr w:rsidR="00B15D8E" w14:paraId="2D8C65A0" w14:textId="77777777" w:rsidTr="00CC22DF">
        <w:tc>
          <w:tcPr>
            <w:tcW w:w="898" w:type="dxa"/>
            <w:shd w:val="clear" w:color="auto" w:fill="FEED00"/>
          </w:tcPr>
          <w:p w14:paraId="23F0B2F3" w14:textId="7A197984"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Bold"/>
                <w:b/>
                <w:bCs/>
                <w:sz w:val="15"/>
                <w:szCs w:val="15"/>
              </w:rPr>
              <w:t>1962</w:t>
            </w:r>
          </w:p>
        </w:tc>
        <w:tc>
          <w:tcPr>
            <w:tcW w:w="1075" w:type="dxa"/>
            <w:shd w:val="clear" w:color="auto" w:fill="FEED00"/>
          </w:tcPr>
          <w:p w14:paraId="640DDE88" w14:textId="3E57C792"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 xml:space="preserve">0,7 </w:t>
            </w:r>
          </w:p>
        </w:tc>
        <w:tc>
          <w:tcPr>
            <w:tcW w:w="957" w:type="dxa"/>
            <w:shd w:val="clear" w:color="auto" w:fill="FEED00"/>
          </w:tcPr>
          <w:p w14:paraId="031EE179" w14:textId="48900760"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2,7</w:t>
            </w:r>
          </w:p>
        </w:tc>
        <w:tc>
          <w:tcPr>
            <w:tcW w:w="878" w:type="dxa"/>
            <w:shd w:val="clear" w:color="auto" w:fill="FEED00"/>
          </w:tcPr>
          <w:p w14:paraId="52BC9F2B" w14:textId="5877D7D3"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Bold"/>
                <w:b/>
                <w:bCs/>
                <w:sz w:val="15"/>
                <w:szCs w:val="15"/>
              </w:rPr>
              <w:t>1985</w:t>
            </w:r>
          </w:p>
        </w:tc>
        <w:tc>
          <w:tcPr>
            <w:tcW w:w="1075" w:type="dxa"/>
            <w:shd w:val="clear" w:color="auto" w:fill="FEED00"/>
          </w:tcPr>
          <w:p w14:paraId="29332804" w14:textId="089F8D5A"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 xml:space="preserve">9,3 </w:t>
            </w:r>
          </w:p>
        </w:tc>
        <w:tc>
          <w:tcPr>
            <w:tcW w:w="958" w:type="dxa"/>
            <w:shd w:val="clear" w:color="auto" w:fill="FEED00"/>
          </w:tcPr>
          <w:p w14:paraId="2A92E172" w14:textId="6BFE650C"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1,6</w:t>
            </w:r>
          </w:p>
        </w:tc>
        <w:tc>
          <w:tcPr>
            <w:tcW w:w="878" w:type="dxa"/>
            <w:shd w:val="clear" w:color="auto" w:fill="FEED00"/>
          </w:tcPr>
          <w:p w14:paraId="5FDF8A89" w14:textId="197775C6"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Bold"/>
                <w:b/>
                <w:bCs/>
                <w:sz w:val="15"/>
                <w:szCs w:val="15"/>
              </w:rPr>
              <w:t>2008</w:t>
            </w:r>
          </w:p>
        </w:tc>
        <w:tc>
          <w:tcPr>
            <w:tcW w:w="1075" w:type="dxa"/>
            <w:shd w:val="clear" w:color="auto" w:fill="FEED00"/>
          </w:tcPr>
          <w:p w14:paraId="1DD2857C" w14:textId="16EDDC83"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 xml:space="preserve">8,7 </w:t>
            </w:r>
          </w:p>
        </w:tc>
        <w:tc>
          <w:tcPr>
            <w:tcW w:w="958" w:type="dxa"/>
            <w:shd w:val="clear" w:color="auto" w:fill="FEED00"/>
          </w:tcPr>
          <w:p w14:paraId="3057A61D" w14:textId="3E314E2E"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2,6</w:t>
            </w:r>
          </w:p>
        </w:tc>
      </w:tr>
      <w:tr w:rsidR="00B15D8E" w14:paraId="1783F306" w14:textId="77777777" w:rsidTr="00CC22DF">
        <w:tc>
          <w:tcPr>
            <w:tcW w:w="898" w:type="dxa"/>
          </w:tcPr>
          <w:p w14:paraId="7E2382B6" w14:textId="04910438"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Bold"/>
                <w:b/>
                <w:bCs/>
                <w:sz w:val="15"/>
                <w:szCs w:val="15"/>
              </w:rPr>
              <w:t>1963</w:t>
            </w:r>
          </w:p>
        </w:tc>
        <w:tc>
          <w:tcPr>
            <w:tcW w:w="1075" w:type="dxa"/>
          </w:tcPr>
          <w:p w14:paraId="335A8D48" w14:textId="4A5B9316"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 xml:space="preserve">0,8 </w:t>
            </w:r>
          </w:p>
        </w:tc>
        <w:tc>
          <w:tcPr>
            <w:tcW w:w="957" w:type="dxa"/>
          </w:tcPr>
          <w:p w14:paraId="33EAE517" w14:textId="36269C6B"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1,4</w:t>
            </w:r>
          </w:p>
        </w:tc>
        <w:tc>
          <w:tcPr>
            <w:tcW w:w="878" w:type="dxa"/>
          </w:tcPr>
          <w:p w14:paraId="55636657" w14:textId="024B7E28"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Bold"/>
                <w:b/>
                <w:bCs/>
                <w:sz w:val="15"/>
                <w:szCs w:val="15"/>
              </w:rPr>
              <w:t>1986</w:t>
            </w:r>
          </w:p>
        </w:tc>
        <w:tc>
          <w:tcPr>
            <w:tcW w:w="1075" w:type="dxa"/>
          </w:tcPr>
          <w:p w14:paraId="615A0047" w14:textId="25336A5F"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 xml:space="preserve">9,0 </w:t>
            </w:r>
          </w:p>
        </w:tc>
        <w:tc>
          <w:tcPr>
            <w:tcW w:w="958" w:type="dxa"/>
          </w:tcPr>
          <w:p w14:paraId="54C99A7A" w14:textId="40848DF0"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-0,5</w:t>
            </w:r>
          </w:p>
        </w:tc>
        <w:tc>
          <w:tcPr>
            <w:tcW w:w="878" w:type="dxa"/>
          </w:tcPr>
          <w:p w14:paraId="55382FBB" w14:textId="38460F59"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Bold"/>
                <w:b/>
                <w:bCs/>
                <w:sz w:val="15"/>
                <w:szCs w:val="15"/>
              </w:rPr>
              <w:t>2009</w:t>
            </w:r>
          </w:p>
        </w:tc>
        <w:tc>
          <w:tcPr>
            <w:tcW w:w="1075" w:type="dxa"/>
          </w:tcPr>
          <w:p w14:paraId="678C0AF9" w14:textId="72C79708"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 xml:space="preserve">9,1 </w:t>
            </w:r>
          </w:p>
        </w:tc>
        <w:tc>
          <w:tcPr>
            <w:tcW w:w="958" w:type="dxa"/>
          </w:tcPr>
          <w:p w14:paraId="028DDDD5" w14:textId="6DF9F59B"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0,3</w:t>
            </w:r>
          </w:p>
        </w:tc>
      </w:tr>
      <w:tr w:rsidR="00B15D8E" w14:paraId="0369351F" w14:textId="77777777" w:rsidTr="00CC22DF">
        <w:tc>
          <w:tcPr>
            <w:tcW w:w="898" w:type="dxa"/>
            <w:shd w:val="clear" w:color="auto" w:fill="FEED00"/>
          </w:tcPr>
          <w:p w14:paraId="3C0EDAF7" w14:textId="29502423"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Bold"/>
                <w:b/>
                <w:bCs/>
                <w:sz w:val="15"/>
                <w:szCs w:val="15"/>
              </w:rPr>
              <w:t>1964</w:t>
            </w:r>
          </w:p>
        </w:tc>
        <w:tc>
          <w:tcPr>
            <w:tcW w:w="1075" w:type="dxa"/>
            <w:shd w:val="clear" w:color="auto" w:fill="FEED00"/>
          </w:tcPr>
          <w:p w14:paraId="20F2FF89" w14:textId="02870AB1"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 xml:space="preserve">0,8 </w:t>
            </w:r>
          </w:p>
        </w:tc>
        <w:tc>
          <w:tcPr>
            <w:tcW w:w="957" w:type="dxa"/>
            <w:shd w:val="clear" w:color="auto" w:fill="FEED00"/>
          </w:tcPr>
          <w:p w14:paraId="25420163" w14:textId="11B1CFB7"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1,2</w:t>
            </w:r>
          </w:p>
        </w:tc>
        <w:tc>
          <w:tcPr>
            <w:tcW w:w="878" w:type="dxa"/>
            <w:shd w:val="clear" w:color="auto" w:fill="FEED00"/>
          </w:tcPr>
          <w:p w14:paraId="703C0BE7" w14:textId="6D7A67C9"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Bold"/>
                <w:b/>
                <w:bCs/>
                <w:sz w:val="15"/>
                <w:szCs w:val="15"/>
              </w:rPr>
              <w:t>1987</w:t>
            </w:r>
          </w:p>
        </w:tc>
        <w:tc>
          <w:tcPr>
            <w:tcW w:w="1075" w:type="dxa"/>
            <w:shd w:val="clear" w:color="auto" w:fill="FEED00"/>
          </w:tcPr>
          <w:p w14:paraId="4AA18E0F" w14:textId="0BEC85BB"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 xml:space="preserve">8,9 </w:t>
            </w:r>
          </w:p>
        </w:tc>
        <w:tc>
          <w:tcPr>
            <w:tcW w:w="958" w:type="dxa"/>
            <w:shd w:val="clear" w:color="auto" w:fill="FEED00"/>
          </w:tcPr>
          <w:p w14:paraId="32D3BA14" w14:textId="0BD30638"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0,1</w:t>
            </w:r>
          </w:p>
        </w:tc>
        <w:tc>
          <w:tcPr>
            <w:tcW w:w="878" w:type="dxa"/>
            <w:shd w:val="clear" w:color="auto" w:fill="FEED00"/>
          </w:tcPr>
          <w:p w14:paraId="7F9668EE" w14:textId="39A2370F"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Bold"/>
                <w:b/>
                <w:bCs/>
                <w:sz w:val="15"/>
                <w:szCs w:val="15"/>
              </w:rPr>
              <w:t>2010</w:t>
            </w:r>
          </w:p>
        </w:tc>
        <w:tc>
          <w:tcPr>
            <w:tcW w:w="1075" w:type="dxa"/>
            <w:shd w:val="clear" w:color="auto" w:fill="FEED00"/>
          </w:tcPr>
          <w:p w14:paraId="4844603B" w14:textId="1F271471"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 xml:space="preserve">8,6 </w:t>
            </w:r>
          </w:p>
        </w:tc>
        <w:tc>
          <w:tcPr>
            <w:tcW w:w="958" w:type="dxa"/>
            <w:shd w:val="clear" w:color="auto" w:fill="FEED00"/>
          </w:tcPr>
          <w:p w14:paraId="022C9553" w14:textId="3947EC4C"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1,1</w:t>
            </w:r>
          </w:p>
        </w:tc>
      </w:tr>
      <w:tr w:rsidR="00B15D8E" w14:paraId="464E0EE3" w14:textId="77777777" w:rsidTr="00CC22DF">
        <w:tc>
          <w:tcPr>
            <w:tcW w:w="898" w:type="dxa"/>
          </w:tcPr>
          <w:p w14:paraId="7627A0EE" w14:textId="1740F0C2"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Bold"/>
                <w:b/>
                <w:bCs/>
                <w:sz w:val="15"/>
                <w:szCs w:val="15"/>
              </w:rPr>
              <w:t>1965</w:t>
            </w:r>
          </w:p>
        </w:tc>
        <w:tc>
          <w:tcPr>
            <w:tcW w:w="1075" w:type="dxa"/>
          </w:tcPr>
          <w:p w14:paraId="6955C3E8" w14:textId="31611174"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 xml:space="preserve">0,7 </w:t>
            </w:r>
          </w:p>
        </w:tc>
        <w:tc>
          <w:tcPr>
            <w:tcW w:w="957" w:type="dxa"/>
          </w:tcPr>
          <w:p w14:paraId="1A499D22" w14:textId="73E753D9"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2,1</w:t>
            </w:r>
          </w:p>
        </w:tc>
        <w:tc>
          <w:tcPr>
            <w:tcW w:w="878" w:type="dxa"/>
          </w:tcPr>
          <w:p w14:paraId="151DF2E0" w14:textId="0C889B54"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Bold"/>
                <w:b/>
                <w:bCs/>
                <w:sz w:val="15"/>
                <w:szCs w:val="15"/>
              </w:rPr>
              <w:t>1988</w:t>
            </w:r>
          </w:p>
        </w:tc>
        <w:tc>
          <w:tcPr>
            <w:tcW w:w="1075" w:type="dxa"/>
          </w:tcPr>
          <w:p w14:paraId="38FB46D4" w14:textId="6FBBA3C7"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 xml:space="preserve">8,7 </w:t>
            </w:r>
          </w:p>
        </w:tc>
        <w:tc>
          <w:tcPr>
            <w:tcW w:w="958" w:type="dxa"/>
          </w:tcPr>
          <w:p w14:paraId="1AD9097C" w14:textId="0C870753"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0,6</w:t>
            </w:r>
          </w:p>
        </w:tc>
        <w:tc>
          <w:tcPr>
            <w:tcW w:w="878" w:type="dxa"/>
          </w:tcPr>
          <w:p w14:paraId="134DA50E" w14:textId="3330C2B6"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Bold"/>
                <w:b/>
                <w:bCs/>
                <w:sz w:val="15"/>
                <w:szCs w:val="15"/>
              </w:rPr>
              <w:t>2011</w:t>
            </w:r>
          </w:p>
        </w:tc>
        <w:tc>
          <w:tcPr>
            <w:tcW w:w="1075" w:type="dxa"/>
          </w:tcPr>
          <w:p w14:paraId="24C1B6BF" w14:textId="70AA8580"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 xml:space="preserve">7,9 </w:t>
            </w:r>
          </w:p>
        </w:tc>
        <w:tc>
          <w:tcPr>
            <w:tcW w:w="958" w:type="dxa"/>
          </w:tcPr>
          <w:p w14:paraId="368C7AC1" w14:textId="58D060FB"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2,1</w:t>
            </w:r>
          </w:p>
        </w:tc>
      </w:tr>
      <w:tr w:rsidR="00B15D8E" w14:paraId="7102A82B" w14:textId="77777777" w:rsidTr="00CC22DF">
        <w:tc>
          <w:tcPr>
            <w:tcW w:w="898" w:type="dxa"/>
            <w:shd w:val="clear" w:color="auto" w:fill="FEED00"/>
          </w:tcPr>
          <w:p w14:paraId="3B9DECF6" w14:textId="4D256329"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Bold"/>
                <w:b/>
                <w:bCs/>
                <w:sz w:val="15"/>
                <w:szCs w:val="15"/>
              </w:rPr>
              <w:t>1966</w:t>
            </w:r>
          </w:p>
        </w:tc>
        <w:tc>
          <w:tcPr>
            <w:tcW w:w="1075" w:type="dxa"/>
            <w:shd w:val="clear" w:color="auto" w:fill="FEED00"/>
          </w:tcPr>
          <w:p w14:paraId="349872AF" w14:textId="2E59FDE7"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 xml:space="preserve">0,7 </w:t>
            </w:r>
          </w:p>
        </w:tc>
        <w:tc>
          <w:tcPr>
            <w:tcW w:w="957" w:type="dxa"/>
            <w:shd w:val="clear" w:color="auto" w:fill="FEED00"/>
          </w:tcPr>
          <w:p w14:paraId="57746AD4" w14:textId="4D6E50DF"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2,0</w:t>
            </w:r>
          </w:p>
        </w:tc>
        <w:tc>
          <w:tcPr>
            <w:tcW w:w="878" w:type="dxa"/>
            <w:shd w:val="clear" w:color="auto" w:fill="FEED00"/>
          </w:tcPr>
          <w:p w14:paraId="28333D41" w14:textId="1C215F91"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Bold"/>
                <w:b/>
                <w:bCs/>
                <w:sz w:val="15"/>
                <w:szCs w:val="15"/>
              </w:rPr>
              <w:t>1989</w:t>
            </w:r>
          </w:p>
        </w:tc>
        <w:tc>
          <w:tcPr>
            <w:tcW w:w="1075" w:type="dxa"/>
            <w:shd w:val="clear" w:color="auto" w:fill="FEED00"/>
          </w:tcPr>
          <w:p w14:paraId="50C1B237" w14:textId="475C0E60"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 xml:space="preserve">7,9 </w:t>
            </w:r>
          </w:p>
        </w:tc>
        <w:tc>
          <w:tcPr>
            <w:tcW w:w="958" w:type="dxa"/>
            <w:shd w:val="clear" w:color="auto" w:fill="FEED00"/>
          </w:tcPr>
          <w:p w14:paraId="31DECC63" w14:textId="31A04467"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2,1</w:t>
            </w:r>
          </w:p>
        </w:tc>
        <w:tc>
          <w:tcPr>
            <w:tcW w:w="878" w:type="dxa"/>
            <w:shd w:val="clear" w:color="auto" w:fill="FEED00"/>
          </w:tcPr>
          <w:p w14:paraId="4B53B4BA" w14:textId="6C6D00DA"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Bold"/>
                <w:b/>
                <w:bCs/>
                <w:sz w:val="15"/>
                <w:szCs w:val="15"/>
              </w:rPr>
              <w:t>2012</w:t>
            </w:r>
          </w:p>
        </w:tc>
        <w:tc>
          <w:tcPr>
            <w:tcW w:w="1075" w:type="dxa"/>
            <w:shd w:val="clear" w:color="auto" w:fill="FEED00"/>
          </w:tcPr>
          <w:p w14:paraId="65491757" w14:textId="2CC69871"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 xml:space="preserve">7,6 </w:t>
            </w:r>
          </w:p>
        </w:tc>
        <w:tc>
          <w:tcPr>
            <w:tcW w:w="958" w:type="dxa"/>
            <w:shd w:val="clear" w:color="auto" w:fill="FEED00"/>
          </w:tcPr>
          <w:p w14:paraId="4011414B" w14:textId="59D2FA98"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2,0</w:t>
            </w:r>
          </w:p>
        </w:tc>
      </w:tr>
      <w:tr w:rsidR="00B15D8E" w14:paraId="6CA9A41D" w14:textId="77777777" w:rsidTr="00CC22DF">
        <w:tc>
          <w:tcPr>
            <w:tcW w:w="898" w:type="dxa"/>
          </w:tcPr>
          <w:p w14:paraId="0DFA763B" w14:textId="0DE4875E"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Bold"/>
                <w:b/>
                <w:bCs/>
                <w:sz w:val="15"/>
                <w:szCs w:val="15"/>
              </w:rPr>
              <w:t>1967</w:t>
            </w:r>
          </w:p>
        </w:tc>
        <w:tc>
          <w:tcPr>
            <w:tcW w:w="1075" w:type="dxa"/>
          </w:tcPr>
          <w:p w14:paraId="5C966B9B" w14:textId="1329D514"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 xml:space="preserve">2,1 </w:t>
            </w:r>
          </w:p>
        </w:tc>
        <w:tc>
          <w:tcPr>
            <w:tcW w:w="957" w:type="dxa"/>
          </w:tcPr>
          <w:p w14:paraId="11AAFFAA" w14:textId="46E00F05"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0,4</w:t>
            </w:r>
          </w:p>
        </w:tc>
        <w:tc>
          <w:tcPr>
            <w:tcW w:w="878" w:type="dxa"/>
          </w:tcPr>
          <w:p w14:paraId="681ED4E1" w14:textId="1CAD19D8"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Bold"/>
                <w:b/>
                <w:bCs/>
                <w:sz w:val="15"/>
                <w:szCs w:val="15"/>
              </w:rPr>
              <w:t>1990</w:t>
            </w:r>
          </w:p>
        </w:tc>
        <w:tc>
          <w:tcPr>
            <w:tcW w:w="1075" w:type="dxa"/>
          </w:tcPr>
          <w:p w14:paraId="01D99774" w14:textId="37C543F1"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 xml:space="preserve">7,2 </w:t>
            </w:r>
          </w:p>
        </w:tc>
        <w:tc>
          <w:tcPr>
            <w:tcW w:w="958" w:type="dxa"/>
          </w:tcPr>
          <w:p w14:paraId="1393FD35" w14:textId="25CC518A"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2,0</w:t>
            </w:r>
          </w:p>
        </w:tc>
        <w:tc>
          <w:tcPr>
            <w:tcW w:w="878" w:type="dxa"/>
          </w:tcPr>
          <w:p w14:paraId="2F659959" w14:textId="2A60DE92"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Bold"/>
                <w:b/>
                <w:bCs/>
                <w:sz w:val="15"/>
                <w:szCs w:val="15"/>
              </w:rPr>
              <w:t>2013</w:t>
            </w:r>
          </w:p>
        </w:tc>
        <w:tc>
          <w:tcPr>
            <w:tcW w:w="1075" w:type="dxa"/>
          </w:tcPr>
          <w:p w14:paraId="67B8B390" w14:textId="61474CCC"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 xml:space="preserve">7,7 </w:t>
            </w:r>
          </w:p>
        </w:tc>
        <w:tc>
          <w:tcPr>
            <w:tcW w:w="958" w:type="dxa"/>
          </w:tcPr>
          <w:p w14:paraId="33CD790D" w14:textId="075A0C13"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1,4</w:t>
            </w:r>
          </w:p>
        </w:tc>
      </w:tr>
      <w:tr w:rsidR="00B15D8E" w14:paraId="5908A148" w14:textId="77777777" w:rsidTr="00CC22DF">
        <w:tc>
          <w:tcPr>
            <w:tcW w:w="898" w:type="dxa"/>
            <w:shd w:val="clear" w:color="auto" w:fill="FEED00"/>
          </w:tcPr>
          <w:p w14:paraId="4309D5CF" w14:textId="248DDFD7"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Bold"/>
                <w:b/>
                <w:bCs/>
                <w:sz w:val="15"/>
                <w:szCs w:val="15"/>
              </w:rPr>
              <w:t>1968</w:t>
            </w:r>
          </w:p>
        </w:tc>
        <w:tc>
          <w:tcPr>
            <w:tcW w:w="1075" w:type="dxa"/>
            <w:shd w:val="clear" w:color="auto" w:fill="FEED00"/>
          </w:tcPr>
          <w:p w14:paraId="6B5C47FA" w14:textId="71D0F1A7"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 xml:space="preserve">1,5 </w:t>
            </w:r>
          </w:p>
        </w:tc>
        <w:tc>
          <w:tcPr>
            <w:tcW w:w="957" w:type="dxa"/>
            <w:shd w:val="clear" w:color="auto" w:fill="FEED00"/>
          </w:tcPr>
          <w:p w14:paraId="4E424398" w14:textId="77D3767F"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-0,2</w:t>
            </w:r>
          </w:p>
        </w:tc>
        <w:tc>
          <w:tcPr>
            <w:tcW w:w="878" w:type="dxa"/>
            <w:shd w:val="clear" w:color="auto" w:fill="FEED00"/>
          </w:tcPr>
          <w:p w14:paraId="5F280F22" w14:textId="0675D675"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Bold"/>
                <w:b/>
                <w:bCs/>
                <w:sz w:val="15"/>
                <w:szCs w:val="15"/>
              </w:rPr>
              <w:t>1991</w:t>
            </w:r>
          </w:p>
        </w:tc>
        <w:tc>
          <w:tcPr>
            <w:tcW w:w="1075" w:type="dxa"/>
            <w:shd w:val="clear" w:color="auto" w:fill="FEED00"/>
          </w:tcPr>
          <w:p w14:paraId="1ED9814B" w14:textId="71B104C4"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 xml:space="preserve">7,3 </w:t>
            </w:r>
          </w:p>
        </w:tc>
        <w:tc>
          <w:tcPr>
            <w:tcW w:w="958" w:type="dxa"/>
            <w:shd w:val="clear" w:color="auto" w:fill="FEED00"/>
          </w:tcPr>
          <w:p w14:paraId="1941C9FA" w14:textId="2F10D13C"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3,7</w:t>
            </w:r>
          </w:p>
        </w:tc>
        <w:tc>
          <w:tcPr>
            <w:tcW w:w="878" w:type="dxa"/>
            <w:shd w:val="clear" w:color="auto" w:fill="FEED00"/>
          </w:tcPr>
          <w:p w14:paraId="0BEE4A59" w14:textId="3337B25B"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Bold"/>
                <w:b/>
                <w:bCs/>
                <w:sz w:val="15"/>
                <w:szCs w:val="15"/>
              </w:rPr>
              <w:t>2014</w:t>
            </w:r>
          </w:p>
        </w:tc>
        <w:tc>
          <w:tcPr>
            <w:tcW w:w="1075" w:type="dxa"/>
            <w:shd w:val="clear" w:color="auto" w:fill="FEED00"/>
          </w:tcPr>
          <w:p w14:paraId="4FA6F998" w14:textId="7AC21270"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 xml:space="preserve">7,5 </w:t>
            </w:r>
          </w:p>
        </w:tc>
        <w:tc>
          <w:tcPr>
            <w:tcW w:w="958" w:type="dxa"/>
            <w:shd w:val="clear" w:color="auto" w:fill="FEED00"/>
          </w:tcPr>
          <w:p w14:paraId="53C21E13" w14:textId="024A5A89"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1,0</w:t>
            </w:r>
          </w:p>
        </w:tc>
      </w:tr>
      <w:tr w:rsidR="00B15D8E" w14:paraId="579CE82E" w14:textId="77777777" w:rsidTr="00CC22DF">
        <w:tc>
          <w:tcPr>
            <w:tcW w:w="898" w:type="dxa"/>
          </w:tcPr>
          <w:p w14:paraId="3B2033F4" w14:textId="797FF961"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Bold"/>
                <w:b/>
                <w:bCs/>
                <w:sz w:val="15"/>
                <w:szCs w:val="15"/>
              </w:rPr>
              <w:t>1969</w:t>
            </w:r>
          </w:p>
        </w:tc>
        <w:tc>
          <w:tcPr>
            <w:tcW w:w="1075" w:type="dxa"/>
          </w:tcPr>
          <w:p w14:paraId="5D75E796" w14:textId="3D8F069C"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 xml:space="preserve">0,9 </w:t>
            </w:r>
          </w:p>
        </w:tc>
        <w:tc>
          <w:tcPr>
            <w:tcW w:w="957" w:type="dxa"/>
          </w:tcPr>
          <w:p w14:paraId="0F425E6E" w14:textId="32FD6FB5"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1,1</w:t>
            </w:r>
          </w:p>
        </w:tc>
        <w:tc>
          <w:tcPr>
            <w:tcW w:w="878" w:type="dxa"/>
          </w:tcPr>
          <w:p w14:paraId="002D5BE2" w14:textId="3FB32ED9"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Bold"/>
                <w:b/>
                <w:bCs/>
                <w:sz w:val="15"/>
                <w:szCs w:val="15"/>
              </w:rPr>
              <w:t>1992</w:t>
            </w:r>
          </w:p>
        </w:tc>
        <w:tc>
          <w:tcPr>
            <w:tcW w:w="1075" w:type="dxa"/>
          </w:tcPr>
          <w:p w14:paraId="672AB03C" w14:textId="5819083B"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 xml:space="preserve">8,5 </w:t>
            </w:r>
          </w:p>
        </w:tc>
        <w:tc>
          <w:tcPr>
            <w:tcW w:w="958" w:type="dxa"/>
          </w:tcPr>
          <w:p w14:paraId="6BB7E468" w14:textId="535DB1A0"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5,0</w:t>
            </w:r>
          </w:p>
        </w:tc>
        <w:tc>
          <w:tcPr>
            <w:tcW w:w="878" w:type="dxa"/>
          </w:tcPr>
          <w:p w14:paraId="08C2669E" w14:textId="4C741A12"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Bold"/>
                <w:b/>
                <w:bCs/>
                <w:sz w:val="15"/>
                <w:szCs w:val="15"/>
              </w:rPr>
              <w:t>2015</w:t>
            </w:r>
          </w:p>
        </w:tc>
        <w:tc>
          <w:tcPr>
            <w:tcW w:w="1075" w:type="dxa"/>
          </w:tcPr>
          <w:p w14:paraId="24E76031" w14:textId="1D19014E"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 xml:space="preserve">7,1 </w:t>
            </w:r>
          </w:p>
        </w:tc>
        <w:tc>
          <w:tcPr>
            <w:tcW w:w="958" w:type="dxa"/>
          </w:tcPr>
          <w:p w14:paraId="5B61F265" w14:textId="6353BBDD"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0,5</w:t>
            </w:r>
          </w:p>
        </w:tc>
      </w:tr>
      <w:tr w:rsidR="00B15D8E" w14:paraId="0E8A4A69" w14:textId="77777777" w:rsidTr="00CC22DF">
        <w:tc>
          <w:tcPr>
            <w:tcW w:w="898" w:type="dxa"/>
            <w:shd w:val="clear" w:color="auto" w:fill="FEED00"/>
          </w:tcPr>
          <w:p w14:paraId="3983FE3C" w14:textId="1E5B05C6"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Bold"/>
                <w:b/>
                <w:bCs/>
                <w:sz w:val="15"/>
                <w:szCs w:val="15"/>
              </w:rPr>
              <w:t>1970</w:t>
            </w:r>
          </w:p>
        </w:tc>
        <w:tc>
          <w:tcPr>
            <w:tcW w:w="1075" w:type="dxa"/>
            <w:shd w:val="clear" w:color="auto" w:fill="FEED00"/>
          </w:tcPr>
          <w:p w14:paraId="17BD0F41" w14:textId="24F93368"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 xml:space="preserve">0,7 </w:t>
            </w:r>
          </w:p>
        </w:tc>
        <w:tc>
          <w:tcPr>
            <w:tcW w:w="957" w:type="dxa"/>
            <w:shd w:val="clear" w:color="auto" w:fill="FEED00"/>
          </w:tcPr>
          <w:p w14:paraId="4AFEE0B8" w14:textId="0735D249"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3,1</w:t>
            </w:r>
          </w:p>
        </w:tc>
        <w:tc>
          <w:tcPr>
            <w:tcW w:w="878" w:type="dxa"/>
            <w:shd w:val="clear" w:color="auto" w:fill="FEED00"/>
          </w:tcPr>
          <w:p w14:paraId="2EFFBDD9" w14:textId="36D0E228"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Bold"/>
                <w:b/>
                <w:bCs/>
                <w:sz w:val="15"/>
                <w:szCs w:val="15"/>
              </w:rPr>
              <w:t>1993</w:t>
            </w:r>
          </w:p>
        </w:tc>
        <w:tc>
          <w:tcPr>
            <w:tcW w:w="1075" w:type="dxa"/>
            <w:shd w:val="clear" w:color="auto" w:fill="FEED00"/>
          </w:tcPr>
          <w:p w14:paraId="242300DB" w14:textId="0680F5BF"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 xml:space="preserve">9,8 </w:t>
            </w:r>
          </w:p>
        </w:tc>
        <w:tc>
          <w:tcPr>
            <w:tcW w:w="958" w:type="dxa"/>
            <w:shd w:val="clear" w:color="auto" w:fill="FEED00"/>
          </w:tcPr>
          <w:p w14:paraId="6DE48EEC" w14:textId="1C60525E"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4,5</w:t>
            </w:r>
          </w:p>
        </w:tc>
        <w:tc>
          <w:tcPr>
            <w:tcW w:w="878" w:type="dxa"/>
            <w:shd w:val="clear" w:color="auto" w:fill="FEED00"/>
          </w:tcPr>
          <w:p w14:paraId="744BEADE" w14:textId="3644998B"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Bold"/>
                <w:b/>
                <w:bCs/>
                <w:sz w:val="15"/>
                <w:szCs w:val="15"/>
              </w:rPr>
              <w:t>2016</w:t>
            </w:r>
          </w:p>
        </w:tc>
        <w:tc>
          <w:tcPr>
            <w:tcW w:w="1075" w:type="dxa"/>
            <w:shd w:val="clear" w:color="auto" w:fill="FEED00"/>
          </w:tcPr>
          <w:p w14:paraId="1F7E3FA9" w14:textId="00C34896"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 xml:space="preserve">6,8 </w:t>
            </w:r>
          </w:p>
        </w:tc>
        <w:tc>
          <w:tcPr>
            <w:tcW w:w="958" w:type="dxa"/>
            <w:shd w:val="clear" w:color="auto" w:fill="FEED00"/>
          </w:tcPr>
          <w:p w14:paraId="495CF75B" w14:textId="5EC442DC"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0,5</w:t>
            </w:r>
          </w:p>
        </w:tc>
      </w:tr>
      <w:tr w:rsidR="00B15D8E" w14:paraId="532A20CD" w14:textId="77777777" w:rsidTr="00CC22DF">
        <w:tc>
          <w:tcPr>
            <w:tcW w:w="898" w:type="dxa"/>
            <w:shd w:val="clear" w:color="auto" w:fill="FFFFFF" w:themeFill="background1"/>
          </w:tcPr>
          <w:p w14:paraId="6A554448" w14:textId="2A45DDBF"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Bold"/>
                <w:b/>
                <w:bCs/>
                <w:sz w:val="15"/>
                <w:szCs w:val="15"/>
              </w:rPr>
              <w:t>1971</w:t>
            </w:r>
          </w:p>
        </w:tc>
        <w:tc>
          <w:tcPr>
            <w:tcW w:w="1075" w:type="dxa"/>
            <w:shd w:val="clear" w:color="auto" w:fill="FFFFFF" w:themeFill="background1"/>
          </w:tcPr>
          <w:p w14:paraId="64296974" w14:textId="5558B5F0"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 xml:space="preserve">0,8 </w:t>
            </w:r>
          </w:p>
        </w:tc>
        <w:tc>
          <w:tcPr>
            <w:tcW w:w="957" w:type="dxa"/>
            <w:shd w:val="clear" w:color="auto" w:fill="FFFFFF" w:themeFill="background1"/>
          </w:tcPr>
          <w:p w14:paraId="23BF652D" w14:textId="474891F4"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4,7</w:t>
            </w:r>
          </w:p>
        </w:tc>
        <w:tc>
          <w:tcPr>
            <w:tcW w:w="878" w:type="dxa"/>
            <w:shd w:val="clear" w:color="auto" w:fill="FFFFFF" w:themeFill="background1"/>
          </w:tcPr>
          <w:p w14:paraId="0099479E" w14:textId="46140858"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Bold"/>
                <w:b/>
                <w:bCs/>
                <w:sz w:val="15"/>
                <w:szCs w:val="15"/>
              </w:rPr>
              <w:t>1994</w:t>
            </w:r>
          </w:p>
        </w:tc>
        <w:tc>
          <w:tcPr>
            <w:tcW w:w="1075" w:type="dxa"/>
            <w:shd w:val="clear" w:color="auto" w:fill="FFFFFF" w:themeFill="background1"/>
          </w:tcPr>
          <w:p w14:paraId="135D2AD4" w14:textId="0990F57C"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 xml:space="preserve">10,6 </w:t>
            </w:r>
          </w:p>
        </w:tc>
        <w:tc>
          <w:tcPr>
            <w:tcW w:w="958" w:type="dxa"/>
            <w:shd w:val="clear" w:color="auto" w:fill="FFFFFF" w:themeFill="background1"/>
          </w:tcPr>
          <w:p w14:paraId="7840C3DB" w14:textId="19263D89"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2,6</w:t>
            </w:r>
          </w:p>
        </w:tc>
        <w:tc>
          <w:tcPr>
            <w:tcW w:w="878" w:type="dxa"/>
            <w:shd w:val="clear" w:color="auto" w:fill="FFFFFF" w:themeFill="background1"/>
          </w:tcPr>
          <w:p w14:paraId="67A6A0C7" w14:textId="6B13800B"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Bold"/>
                <w:b/>
                <w:bCs/>
                <w:sz w:val="15"/>
                <w:szCs w:val="15"/>
              </w:rPr>
              <w:t>2017</w:t>
            </w:r>
          </w:p>
        </w:tc>
        <w:tc>
          <w:tcPr>
            <w:tcW w:w="1075" w:type="dxa"/>
            <w:shd w:val="clear" w:color="auto" w:fill="FFFFFF" w:themeFill="background1"/>
          </w:tcPr>
          <w:p w14:paraId="7E72F065" w14:textId="66240694"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 xml:space="preserve">6,3 </w:t>
            </w:r>
          </w:p>
        </w:tc>
        <w:tc>
          <w:tcPr>
            <w:tcW w:w="958" w:type="dxa"/>
            <w:shd w:val="clear" w:color="auto" w:fill="FFFFFF" w:themeFill="background1"/>
          </w:tcPr>
          <w:p w14:paraId="1A7D476F" w14:textId="0F1D3ADA"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1,5</w:t>
            </w:r>
          </w:p>
        </w:tc>
      </w:tr>
      <w:tr w:rsidR="00B15D8E" w14:paraId="7AC555EB" w14:textId="77777777" w:rsidTr="00CC22DF">
        <w:tc>
          <w:tcPr>
            <w:tcW w:w="898" w:type="dxa"/>
            <w:shd w:val="clear" w:color="auto" w:fill="FEED00"/>
          </w:tcPr>
          <w:p w14:paraId="12392A26" w14:textId="6F6783ED"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Bold"/>
                <w:b/>
                <w:bCs/>
                <w:sz w:val="15"/>
                <w:szCs w:val="15"/>
              </w:rPr>
              <w:t>1972</w:t>
            </w:r>
          </w:p>
        </w:tc>
        <w:tc>
          <w:tcPr>
            <w:tcW w:w="1075" w:type="dxa"/>
            <w:shd w:val="clear" w:color="auto" w:fill="FEED00"/>
          </w:tcPr>
          <w:p w14:paraId="3612A6D5" w14:textId="713D06EB"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 xml:space="preserve">1,1 </w:t>
            </w:r>
          </w:p>
        </w:tc>
        <w:tc>
          <w:tcPr>
            <w:tcW w:w="957" w:type="dxa"/>
            <w:shd w:val="clear" w:color="auto" w:fill="FEED00"/>
          </w:tcPr>
          <w:p w14:paraId="0497079C" w14:textId="4D3F4DE5"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4,6</w:t>
            </w:r>
          </w:p>
        </w:tc>
        <w:tc>
          <w:tcPr>
            <w:tcW w:w="878" w:type="dxa"/>
            <w:shd w:val="clear" w:color="auto" w:fill="FEED00"/>
          </w:tcPr>
          <w:p w14:paraId="310B9110" w14:textId="109C3305"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Bold"/>
                <w:b/>
                <w:bCs/>
                <w:sz w:val="15"/>
                <w:szCs w:val="15"/>
              </w:rPr>
              <w:t>1995</w:t>
            </w:r>
          </w:p>
        </w:tc>
        <w:tc>
          <w:tcPr>
            <w:tcW w:w="1075" w:type="dxa"/>
            <w:shd w:val="clear" w:color="auto" w:fill="FEED00"/>
          </w:tcPr>
          <w:p w14:paraId="23C8DECB" w14:textId="535DFEB6"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 xml:space="preserve">10,4 </w:t>
            </w:r>
          </w:p>
        </w:tc>
        <w:tc>
          <w:tcPr>
            <w:tcW w:w="958" w:type="dxa"/>
            <w:shd w:val="clear" w:color="auto" w:fill="FEED00"/>
          </w:tcPr>
          <w:p w14:paraId="6C17CC43" w14:textId="58017949"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1,8</w:t>
            </w:r>
          </w:p>
        </w:tc>
        <w:tc>
          <w:tcPr>
            <w:tcW w:w="878" w:type="dxa"/>
            <w:shd w:val="clear" w:color="auto" w:fill="FEED00"/>
          </w:tcPr>
          <w:p w14:paraId="68042138" w14:textId="4B96D84F"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Bold"/>
                <w:b/>
                <w:bCs/>
                <w:sz w:val="15"/>
                <w:szCs w:val="15"/>
              </w:rPr>
              <w:t>2018</w:t>
            </w:r>
          </w:p>
        </w:tc>
        <w:tc>
          <w:tcPr>
            <w:tcW w:w="1075" w:type="dxa"/>
            <w:shd w:val="clear" w:color="auto" w:fill="FEED00"/>
          </w:tcPr>
          <w:p w14:paraId="017B5D5B" w14:textId="74F53306"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 xml:space="preserve">5,8 </w:t>
            </w:r>
          </w:p>
        </w:tc>
        <w:tc>
          <w:tcPr>
            <w:tcW w:w="958" w:type="dxa"/>
            <w:shd w:val="clear" w:color="auto" w:fill="FEED00"/>
          </w:tcPr>
          <w:p w14:paraId="74B910C5" w14:textId="7DB375B2" w:rsidR="00B15D8E" w:rsidRPr="00B15D8E" w:rsidRDefault="00B15D8E" w:rsidP="007F097F">
            <w:pPr>
              <w:autoSpaceDE w:val="0"/>
              <w:autoSpaceDN w:val="0"/>
              <w:adjustRightInd w:val="0"/>
              <w:rPr>
                <w:rFonts w:ascii="Verdana" w:hAnsi="Verdana" w:cs="DIN"/>
                <w:color w:val="FFFFFF" w:themeColor="background1"/>
                <w:sz w:val="15"/>
                <w:szCs w:val="15"/>
              </w:rPr>
            </w:pPr>
            <w:r w:rsidRPr="00B15D8E">
              <w:rPr>
                <w:rFonts w:ascii="Verdana" w:hAnsi="Verdana" w:cs="Verdana"/>
                <w:sz w:val="15"/>
                <w:szCs w:val="15"/>
              </w:rPr>
              <w:t>1,8</w:t>
            </w:r>
          </w:p>
        </w:tc>
      </w:tr>
    </w:tbl>
    <w:p w14:paraId="2DE49939" w14:textId="77777777" w:rsidR="00487516" w:rsidRPr="007F097F" w:rsidRDefault="00487516" w:rsidP="007F097F">
      <w:pPr>
        <w:autoSpaceDE w:val="0"/>
        <w:autoSpaceDN w:val="0"/>
        <w:adjustRightInd w:val="0"/>
        <w:rPr>
          <w:rFonts w:ascii="Verdana" w:hAnsi="Verdana" w:cs="DIN"/>
          <w:color w:val="000000"/>
          <w:sz w:val="18"/>
          <w:szCs w:val="18"/>
        </w:rPr>
      </w:pPr>
    </w:p>
    <w:p w14:paraId="1AF87853" w14:textId="5DC735C8" w:rsidR="006E15A8" w:rsidRPr="006E15A8" w:rsidRDefault="006E15A8" w:rsidP="006E15A8">
      <w:pPr>
        <w:rPr>
          <w:rFonts w:ascii="Verdana" w:hAnsi="Verdana"/>
          <w:iCs/>
          <w:sz w:val="15"/>
          <w:szCs w:val="15"/>
        </w:rPr>
      </w:pPr>
      <w:r w:rsidRPr="00487516">
        <w:rPr>
          <w:rFonts w:ascii="Verdana" w:hAnsi="Verdana"/>
          <w:iCs/>
          <w:color w:val="000000" w:themeColor="text1"/>
          <w:sz w:val="15"/>
          <w:szCs w:val="15"/>
        </w:rPr>
        <w:t>*</w:t>
      </w:r>
      <w:r w:rsidRPr="006E15A8">
        <w:rPr>
          <w:rFonts w:ascii="Verdana" w:hAnsi="Verdana"/>
          <w:iCs/>
          <w:sz w:val="15"/>
          <w:szCs w:val="15"/>
        </w:rPr>
        <w:t xml:space="preserve">Arbeitslosenquote im Jahresdurchschnitt bezogen auf </w:t>
      </w:r>
      <w:r w:rsidRPr="00C061E8">
        <w:rPr>
          <w:rFonts w:ascii="Verdana" w:hAnsi="Verdana"/>
          <w:iCs/>
          <w:sz w:val="15"/>
          <w:szCs w:val="15"/>
          <w:u w:val="single"/>
        </w:rPr>
        <w:t>abhängig</w:t>
      </w:r>
      <w:r w:rsidR="003D1346">
        <w:rPr>
          <w:rFonts w:ascii="Verdana" w:hAnsi="Verdana"/>
          <w:iCs/>
          <w:sz w:val="15"/>
          <w:szCs w:val="15"/>
          <w:u w:val="single"/>
        </w:rPr>
        <w:t xml:space="preserve"> </w:t>
      </w:r>
      <w:r w:rsidR="003D1346" w:rsidRPr="00797536">
        <w:rPr>
          <w:rFonts w:ascii="Verdana" w:hAnsi="Verdana"/>
          <w:iCs/>
          <w:sz w:val="15"/>
          <w:szCs w:val="15"/>
          <w:u w:val="single"/>
        </w:rPr>
        <w:t>beschäftigte</w:t>
      </w:r>
      <w:r w:rsidRPr="006E15A8">
        <w:rPr>
          <w:rFonts w:ascii="Verdana" w:hAnsi="Verdana"/>
          <w:iCs/>
          <w:sz w:val="15"/>
          <w:szCs w:val="15"/>
        </w:rPr>
        <w:t xml:space="preserve"> zivile Erwerbspersonen. Bis 1990 nur Bundesgebiet West. Quelle: Statistik der Bundesagentur für Arbeit, Arbeitslosigkeit im Zeitverlauf, Stand August 2019. Üblicherweise wird die Arbeitslosenquote  auf </w:t>
      </w:r>
      <w:r w:rsidRPr="006E15A8">
        <w:rPr>
          <w:rFonts w:ascii="Verdana" w:hAnsi="Verdana"/>
          <w:iCs/>
          <w:sz w:val="15"/>
          <w:szCs w:val="15"/>
          <w:u w:val="single"/>
        </w:rPr>
        <w:t>alle</w:t>
      </w:r>
      <w:r w:rsidRPr="002B4063">
        <w:rPr>
          <w:rFonts w:ascii="Verdana" w:hAnsi="Verdana"/>
          <w:iCs/>
          <w:sz w:val="15"/>
          <w:szCs w:val="15"/>
        </w:rPr>
        <w:t xml:space="preserve"> </w:t>
      </w:r>
      <w:r w:rsidRPr="006E15A8">
        <w:rPr>
          <w:rFonts w:ascii="Verdana" w:hAnsi="Verdana"/>
          <w:iCs/>
          <w:sz w:val="15"/>
          <w:szCs w:val="15"/>
        </w:rPr>
        <w:t xml:space="preserve">zivilen Erwerbspersonen </w:t>
      </w:r>
      <w:r w:rsidR="00797536">
        <w:rPr>
          <w:rFonts w:ascii="Verdana" w:hAnsi="Verdana"/>
          <w:iCs/>
          <w:sz w:val="15"/>
          <w:szCs w:val="15"/>
        </w:rPr>
        <w:t>(inkl. Selb</w:t>
      </w:r>
      <w:r w:rsidR="002B4063">
        <w:rPr>
          <w:rFonts w:ascii="Verdana" w:hAnsi="Verdana"/>
          <w:iCs/>
          <w:sz w:val="15"/>
          <w:szCs w:val="15"/>
        </w:rPr>
        <w:t>st</w:t>
      </w:r>
      <w:r w:rsidR="00797536">
        <w:rPr>
          <w:rFonts w:ascii="Verdana" w:hAnsi="Verdana"/>
          <w:iCs/>
          <w:sz w:val="15"/>
          <w:szCs w:val="15"/>
        </w:rPr>
        <w:t>ständige) bezogen</w:t>
      </w:r>
      <w:r w:rsidRPr="006E15A8">
        <w:rPr>
          <w:rFonts w:ascii="Verdana" w:hAnsi="Verdana"/>
          <w:iCs/>
          <w:sz w:val="15"/>
          <w:szCs w:val="15"/>
        </w:rPr>
        <w:t xml:space="preserve">, auch für internationale Vergleiche, und monatlich von der Statistik der Bundesagentur für Arbeit veröffentlicht. Sie fällt </w:t>
      </w:r>
      <w:r w:rsidR="00797536">
        <w:rPr>
          <w:rFonts w:ascii="Verdana" w:hAnsi="Verdana"/>
          <w:iCs/>
          <w:sz w:val="15"/>
          <w:szCs w:val="15"/>
        </w:rPr>
        <w:t xml:space="preserve">darum </w:t>
      </w:r>
      <w:r w:rsidRPr="006E15A8">
        <w:rPr>
          <w:rFonts w:ascii="Verdana" w:hAnsi="Verdana"/>
          <w:iCs/>
          <w:sz w:val="15"/>
          <w:szCs w:val="15"/>
        </w:rPr>
        <w:t>etwas geringer aus</w:t>
      </w:r>
      <w:r w:rsidR="00797536">
        <w:rPr>
          <w:rFonts w:ascii="Verdana" w:hAnsi="Verdana"/>
          <w:iCs/>
          <w:sz w:val="15"/>
          <w:szCs w:val="15"/>
        </w:rPr>
        <w:t>.</w:t>
      </w:r>
    </w:p>
    <w:p w14:paraId="10F32E08" w14:textId="189EBC56" w:rsidR="00487516" w:rsidRPr="009A069E" w:rsidRDefault="006E15A8" w:rsidP="00487516">
      <w:pPr>
        <w:rPr>
          <w:rFonts w:ascii="Verdana" w:hAnsi="Verdana"/>
          <w:iCs/>
          <w:sz w:val="15"/>
          <w:szCs w:val="15"/>
        </w:rPr>
      </w:pPr>
      <w:r w:rsidRPr="006E15A8">
        <w:rPr>
          <w:rFonts w:ascii="Verdana" w:hAnsi="Verdana"/>
          <w:iCs/>
          <w:sz w:val="15"/>
          <w:szCs w:val="15"/>
        </w:rPr>
        <w:t xml:space="preserve">Inflationsrate: Bis 1990 Jahresdurchschnitt der Veränderungsrate der Indizes für Einzelhandelspreise im früheren Bundesgebiet, ab 1991 Veränderungsrate der Verbraucherpreisindizes für Deutschland. Statistisches Bundesamt. Preise – Verbraucherpreisindizes für Deutschland – Lange Reihen ab 1948, Stand September 2019. </w:t>
      </w:r>
    </w:p>
    <w:p w14:paraId="44F3D070" w14:textId="77777777" w:rsidR="0050299E" w:rsidRPr="00487516" w:rsidRDefault="0050299E" w:rsidP="00487516">
      <w:pPr>
        <w:rPr>
          <w:rFonts w:ascii="Verdana" w:hAnsi="Verdana"/>
          <w:iCs/>
          <w:sz w:val="18"/>
          <w:szCs w:val="18"/>
        </w:rPr>
      </w:pPr>
    </w:p>
    <w:p w14:paraId="03A1D62B" w14:textId="4741B049" w:rsidR="007F097F" w:rsidRDefault="007F097F" w:rsidP="00BF5C3A">
      <w:pPr>
        <w:pBdr>
          <w:top w:val="single" w:sz="18" w:space="6" w:color="000000" w:themeColor="text1"/>
          <w:left w:val="single" w:sz="18" w:space="6" w:color="000000" w:themeColor="text1"/>
          <w:bottom w:val="single" w:sz="18" w:space="6" w:color="000000" w:themeColor="text1"/>
          <w:right w:val="single" w:sz="18" w:space="6" w:color="000000" w:themeColor="text1"/>
        </w:pBdr>
        <w:rPr>
          <w:rFonts w:ascii="Verdana" w:hAnsi="Verdana" w:cs="Caecilia LT Std Roman"/>
          <w:b/>
          <w:bCs/>
          <w:color w:val="000000"/>
          <w:sz w:val="20"/>
          <w:szCs w:val="20"/>
        </w:rPr>
      </w:pPr>
      <w:r w:rsidRPr="007F097F">
        <w:rPr>
          <w:rFonts w:ascii="Verdana" w:hAnsi="Verdana" w:cs="Caecilia LT Std Roman"/>
          <w:b/>
          <w:bCs/>
          <w:color w:val="000000"/>
          <w:sz w:val="20"/>
          <w:szCs w:val="20"/>
        </w:rPr>
        <w:t>Arbeitsaufträge</w:t>
      </w:r>
    </w:p>
    <w:p w14:paraId="0B1EA970" w14:textId="77777777" w:rsidR="007F097F" w:rsidRPr="007F097F" w:rsidRDefault="007F097F" w:rsidP="00BF5C3A">
      <w:pPr>
        <w:pBdr>
          <w:top w:val="single" w:sz="18" w:space="6" w:color="000000" w:themeColor="text1"/>
          <w:left w:val="single" w:sz="18" w:space="6" w:color="000000" w:themeColor="text1"/>
          <w:bottom w:val="single" w:sz="18" w:space="6" w:color="000000" w:themeColor="text1"/>
          <w:right w:val="single" w:sz="18" w:space="6" w:color="000000" w:themeColor="text1"/>
        </w:pBdr>
        <w:rPr>
          <w:rFonts w:ascii="Verdana" w:hAnsi="Verdana" w:cs="Caecilia LT Std Roman"/>
          <w:color w:val="000000"/>
          <w:sz w:val="15"/>
          <w:szCs w:val="15"/>
        </w:rPr>
      </w:pPr>
    </w:p>
    <w:p w14:paraId="22C72331" w14:textId="7570E6FC" w:rsidR="007F097F" w:rsidRPr="007F097F" w:rsidRDefault="00091657" w:rsidP="00664E72">
      <w:pPr>
        <w:numPr>
          <w:ilvl w:val="0"/>
          <w:numId w:val="4"/>
        </w:numPr>
        <w:pBdr>
          <w:top w:val="single" w:sz="18" w:space="6" w:color="000000" w:themeColor="text1"/>
          <w:left w:val="single" w:sz="18" w:space="6" w:color="000000" w:themeColor="text1"/>
          <w:bottom w:val="single" w:sz="18" w:space="6" w:color="000000" w:themeColor="text1"/>
          <w:right w:val="single" w:sz="18" w:space="6" w:color="000000" w:themeColor="text1"/>
        </w:pBdr>
        <w:autoSpaceDE w:val="0"/>
        <w:autoSpaceDN w:val="0"/>
        <w:adjustRightInd w:val="0"/>
        <w:spacing w:after="37"/>
        <w:rPr>
          <w:rFonts w:ascii="Verdana" w:hAnsi="Verdana" w:cs="Caecilia LT Std Roman"/>
          <w:color w:val="000000"/>
          <w:sz w:val="18"/>
          <w:szCs w:val="18"/>
        </w:rPr>
      </w:pPr>
      <w:r>
        <w:rPr>
          <w:rFonts w:ascii="Verdana" w:hAnsi="Verdana" w:cs="Caecilia LT Std Roman"/>
          <w:color w:val="000000"/>
          <w:sz w:val="18"/>
          <w:szCs w:val="18"/>
        </w:rPr>
        <w:t xml:space="preserve">Veranschaulichen Sie die Angaben zur Arbeitslosigkeit (aus der Tabelle) mit Hilfe </w:t>
      </w:r>
      <w:r w:rsidR="0050299E">
        <w:rPr>
          <w:rFonts w:ascii="Verdana" w:hAnsi="Verdana" w:cs="Caecilia LT Std Roman"/>
          <w:color w:val="000000"/>
          <w:sz w:val="18"/>
          <w:szCs w:val="18"/>
        </w:rPr>
        <w:br/>
      </w:r>
      <w:r>
        <w:rPr>
          <w:rFonts w:ascii="Verdana" w:hAnsi="Verdana" w:cs="Caecilia LT Std Roman"/>
          <w:color w:val="000000"/>
          <w:sz w:val="18"/>
          <w:szCs w:val="18"/>
        </w:rPr>
        <w:t>eines geeigneten Diagrammtyps</w:t>
      </w:r>
      <w:r w:rsidR="007F097F" w:rsidRPr="007F097F">
        <w:rPr>
          <w:rFonts w:ascii="Verdana" w:hAnsi="Verdana" w:cs="Caecilia LT Std Roman"/>
          <w:color w:val="000000"/>
          <w:sz w:val="18"/>
          <w:szCs w:val="18"/>
        </w:rPr>
        <w:t>.</w:t>
      </w:r>
      <w:r w:rsidR="00BF5C3A">
        <w:rPr>
          <w:rFonts w:ascii="Verdana" w:hAnsi="Verdana" w:cs="Caecilia LT Std Roman"/>
          <w:color w:val="000000"/>
          <w:sz w:val="18"/>
          <w:szCs w:val="18"/>
        </w:rPr>
        <w:br/>
      </w:r>
    </w:p>
    <w:p w14:paraId="190DA9AB" w14:textId="2E528F21" w:rsidR="00091657" w:rsidRDefault="00091657" w:rsidP="00664E72">
      <w:pPr>
        <w:numPr>
          <w:ilvl w:val="0"/>
          <w:numId w:val="3"/>
        </w:numPr>
        <w:pBdr>
          <w:top w:val="single" w:sz="18" w:space="6" w:color="000000" w:themeColor="text1"/>
          <w:left w:val="single" w:sz="18" w:space="6" w:color="000000" w:themeColor="text1"/>
          <w:bottom w:val="single" w:sz="18" w:space="6" w:color="000000" w:themeColor="text1"/>
          <w:right w:val="single" w:sz="18" w:space="6" w:color="000000" w:themeColor="text1"/>
        </w:pBdr>
        <w:autoSpaceDE w:val="0"/>
        <w:autoSpaceDN w:val="0"/>
        <w:adjustRightInd w:val="0"/>
        <w:rPr>
          <w:rFonts w:ascii="Verdana" w:hAnsi="Verdana" w:cs="Caecilia LT Std Roman"/>
          <w:color w:val="000000"/>
          <w:sz w:val="18"/>
          <w:szCs w:val="18"/>
        </w:rPr>
      </w:pPr>
      <w:r>
        <w:rPr>
          <w:rFonts w:ascii="Verdana" w:hAnsi="Verdana" w:cs="Caecilia LT Std Roman"/>
          <w:color w:val="000000"/>
          <w:sz w:val="18"/>
          <w:szCs w:val="18"/>
        </w:rPr>
        <w:t>Ergänzen Sie in Ihrem Diagramm die Inflationsrate.</w:t>
      </w:r>
      <w:r w:rsidR="00537F27">
        <w:rPr>
          <w:rFonts w:ascii="Verdana" w:hAnsi="Verdana" w:cs="Caecilia LT Std Roman"/>
          <w:color w:val="000000"/>
          <w:sz w:val="18"/>
          <w:szCs w:val="18"/>
        </w:rPr>
        <w:br/>
      </w:r>
    </w:p>
    <w:p w14:paraId="5C3E4370" w14:textId="2B0120FA" w:rsidR="007F097F" w:rsidRDefault="00091657" w:rsidP="00664E72">
      <w:pPr>
        <w:numPr>
          <w:ilvl w:val="0"/>
          <w:numId w:val="2"/>
        </w:numPr>
        <w:pBdr>
          <w:top w:val="single" w:sz="18" w:space="6" w:color="000000" w:themeColor="text1"/>
          <w:left w:val="single" w:sz="18" w:space="6" w:color="000000" w:themeColor="text1"/>
          <w:bottom w:val="single" w:sz="18" w:space="6" w:color="000000" w:themeColor="text1"/>
          <w:right w:val="single" w:sz="18" w:space="6" w:color="000000" w:themeColor="text1"/>
        </w:pBdr>
        <w:autoSpaceDE w:val="0"/>
        <w:autoSpaceDN w:val="0"/>
        <w:adjustRightInd w:val="0"/>
        <w:rPr>
          <w:rFonts w:ascii="Verdana" w:hAnsi="Verdana" w:cs="Caecilia LT Std Roman"/>
          <w:color w:val="000000"/>
          <w:sz w:val="18"/>
          <w:szCs w:val="18"/>
        </w:rPr>
      </w:pPr>
      <w:r>
        <w:rPr>
          <w:rFonts w:ascii="Verdana" w:hAnsi="Verdana" w:cs="Caecilia LT Std Roman"/>
          <w:color w:val="000000"/>
          <w:sz w:val="18"/>
          <w:szCs w:val="18"/>
        </w:rPr>
        <w:t xml:space="preserve">„Wenn die Arbeitslosigkeit niedrig ist, gibt es eine höhere Inflation.“ – Prüfen Sie, </w:t>
      </w:r>
      <w:r w:rsidR="0050299E">
        <w:rPr>
          <w:rFonts w:ascii="Verdana" w:hAnsi="Verdana" w:cs="Caecilia LT Std Roman"/>
          <w:color w:val="000000"/>
          <w:sz w:val="18"/>
          <w:szCs w:val="18"/>
        </w:rPr>
        <w:br/>
      </w:r>
      <w:r>
        <w:rPr>
          <w:rFonts w:ascii="Verdana" w:hAnsi="Verdana" w:cs="Caecilia LT Std Roman"/>
          <w:color w:val="000000"/>
          <w:sz w:val="18"/>
          <w:szCs w:val="18"/>
        </w:rPr>
        <w:t>ob diese These anhand Ihres Diagramms belege</w:t>
      </w:r>
      <w:r w:rsidR="003D1346">
        <w:rPr>
          <w:rFonts w:ascii="Verdana" w:hAnsi="Verdana" w:cs="Caecilia LT Std Roman"/>
          <w:color w:val="000000"/>
          <w:sz w:val="18"/>
          <w:szCs w:val="18"/>
        </w:rPr>
        <w:t>n</w:t>
      </w:r>
      <w:r>
        <w:rPr>
          <w:rFonts w:ascii="Verdana" w:hAnsi="Verdana" w:cs="Caecilia LT Std Roman"/>
          <w:color w:val="000000"/>
          <w:sz w:val="18"/>
          <w:szCs w:val="18"/>
        </w:rPr>
        <w:t xml:space="preserve"> oder widerlegen lässt. Erläutern Sie, welche </w:t>
      </w:r>
      <w:r w:rsidR="00537F27">
        <w:rPr>
          <w:rFonts w:ascii="Verdana" w:hAnsi="Verdana" w:cs="Caecilia LT Std Roman"/>
          <w:color w:val="000000"/>
          <w:sz w:val="18"/>
          <w:szCs w:val="18"/>
        </w:rPr>
        <w:t>Z</w:t>
      </w:r>
      <w:r>
        <w:rPr>
          <w:rFonts w:ascii="Verdana" w:hAnsi="Verdana" w:cs="Caecilia LT Std Roman"/>
          <w:color w:val="000000"/>
          <w:sz w:val="18"/>
          <w:szCs w:val="18"/>
        </w:rPr>
        <w:t>usammenhänge dahinterstecken können.</w:t>
      </w:r>
      <w:r w:rsidR="00BF5C3A">
        <w:rPr>
          <w:rFonts w:ascii="Verdana" w:hAnsi="Verdana" w:cs="Caecilia LT Std Roman"/>
          <w:color w:val="000000"/>
          <w:sz w:val="18"/>
          <w:szCs w:val="18"/>
        </w:rPr>
        <w:br/>
      </w:r>
      <w:r w:rsidR="00537F27">
        <w:rPr>
          <w:rFonts w:ascii="Verdana" w:hAnsi="Verdana" w:cs="Caecilia LT Std Roman"/>
          <w:color w:val="000000"/>
          <w:sz w:val="18"/>
          <w:szCs w:val="18"/>
        </w:rPr>
        <w:br/>
      </w:r>
      <w:r w:rsidR="007F097F" w:rsidRPr="00537F27">
        <w:rPr>
          <w:rFonts w:ascii="Verdana" w:hAnsi="Verdana" w:cs="Caecilia LT Std Roman"/>
          <w:color w:val="000000"/>
          <w:sz w:val="18"/>
          <w:szCs w:val="18"/>
        </w:rPr>
        <w:t>*Aufgabe für Gymnasien</w:t>
      </w:r>
    </w:p>
    <w:p w14:paraId="1DCDEE45" w14:textId="77777777" w:rsidR="00A36244" w:rsidRPr="00537F27" w:rsidRDefault="00A36244" w:rsidP="00A36244">
      <w:pPr>
        <w:autoSpaceDE w:val="0"/>
        <w:autoSpaceDN w:val="0"/>
        <w:adjustRightInd w:val="0"/>
        <w:rPr>
          <w:rFonts w:ascii="Verdana" w:hAnsi="Verdana" w:cs="Caecilia LT Std Roman"/>
          <w:color w:val="000000"/>
          <w:sz w:val="18"/>
          <w:szCs w:val="18"/>
        </w:rPr>
      </w:pPr>
    </w:p>
    <w:p w14:paraId="7851551E" w14:textId="33FD1B33" w:rsidR="00A36244" w:rsidRPr="004103B4" w:rsidRDefault="00A36244" w:rsidP="00A36244">
      <w:pPr>
        <w:rPr>
          <w:rFonts w:ascii="Verdana" w:hAnsi="Verdana" w:cs="Caecilia LT Std Roman"/>
          <w:color w:val="000000"/>
          <w:sz w:val="18"/>
          <w:szCs w:val="18"/>
        </w:rPr>
      </w:pPr>
      <w:r>
        <w:rPr>
          <w:rFonts w:ascii="Verdana" w:hAnsi="Verdana" w:cs="Caecilia LT Std Roman"/>
          <w:color w:val="000000"/>
          <w:sz w:val="18"/>
          <w:szCs w:val="18"/>
        </w:rPr>
        <w:br w:type="page"/>
      </w:r>
      <w:r w:rsidRPr="00A36244">
        <w:rPr>
          <w:rFonts w:ascii="Verdana" w:hAnsi="Verdana"/>
          <w:b/>
          <w:bCs/>
          <w:sz w:val="20"/>
          <w:szCs w:val="18"/>
        </w:rPr>
        <w:lastRenderedPageBreak/>
        <w:t>Hinweise für Lehrkräfte</w:t>
      </w:r>
    </w:p>
    <w:p w14:paraId="0FCE8789" w14:textId="77777777" w:rsidR="00A36244" w:rsidRPr="00A36244" w:rsidRDefault="00A36244" w:rsidP="00A36244">
      <w:pPr>
        <w:rPr>
          <w:rFonts w:ascii="Verdana" w:hAnsi="Verdana"/>
          <w:b/>
          <w:bCs/>
          <w:sz w:val="18"/>
          <w:szCs w:val="18"/>
        </w:rPr>
      </w:pPr>
    </w:p>
    <w:p w14:paraId="613F50B3" w14:textId="64D2C318" w:rsidR="00487516" w:rsidRDefault="00A36244" w:rsidP="00A36244">
      <w:pPr>
        <w:rPr>
          <w:rFonts w:ascii="Verdana" w:hAnsi="Verdana"/>
          <w:sz w:val="18"/>
          <w:szCs w:val="18"/>
        </w:rPr>
      </w:pPr>
      <w:r w:rsidRPr="00A36244">
        <w:rPr>
          <w:rFonts w:ascii="Verdana" w:hAnsi="Verdana"/>
          <w:sz w:val="18"/>
          <w:szCs w:val="18"/>
        </w:rPr>
        <w:t xml:space="preserve">Die Arbeitslosenquote hat sich im Laufe der Geschichte der Bundesrepublik Deutschland in bemerkenswertem Ausmaß, welches kaum prognostizierbar war, verändert. Die Quote wird berechnet, indem die Anzahl der bei der Bundesagentur für Arbeit registrierten Arbeitslosen ins Verhältnis gesetzt wird a) zur Gesamtzahl aller zivilen Erwerbstätigen plus der Anzahl der Arbeitslosen – das Zwischenergebnis multipliziert mit 100 oder b) zur Gesamtzahl aller abhängig </w:t>
      </w:r>
      <w:r w:rsidR="00797536">
        <w:rPr>
          <w:rFonts w:ascii="Verdana" w:hAnsi="Verdana"/>
          <w:sz w:val="18"/>
          <w:szCs w:val="18"/>
        </w:rPr>
        <w:t>b</w:t>
      </w:r>
      <w:r w:rsidRPr="00A36244">
        <w:rPr>
          <w:rFonts w:ascii="Verdana" w:hAnsi="Verdana"/>
          <w:sz w:val="18"/>
          <w:szCs w:val="18"/>
        </w:rPr>
        <w:t>eschäftigten zivilen Erwerbstätigen plus der Anzahl der Arbeitslosen –</w:t>
      </w:r>
      <w:r>
        <w:rPr>
          <w:rFonts w:ascii="Verdana" w:hAnsi="Verdana"/>
          <w:sz w:val="18"/>
          <w:szCs w:val="18"/>
        </w:rPr>
        <w:t xml:space="preserve"> </w:t>
      </w:r>
      <w:r w:rsidRPr="00A36244">
        <w:rPr>
          <w:rFonts w:ascii="Verdana" w:hAnsi="Verdana"/>
          <w:sz w:val="18"/>
          <w:szCs w:val="18"/>
        </w:rPr>
        <w:t xml:space="preserve">wiederum multipliziert mit 100. Da der Nenner bei der Variante a größer ist, ist die Quote bei a folglich kleiner als bei b, wenn man davon ausgeht, dass der Zähler bei beiden Berechnungen derselbe ist. Beim Vergleich von differenten Arbeitslosenquoten ist daher unbedingt darauf zu achten, dass jeweils dieselbe Berechnungsmethode zu Grunde liegt. Das gilt besonders bei internationalen Vergleichen. </w:t>
      </w:r>
      <w:r w:rsidR="006A50F8">
        <w:rPr>
          <w:rFonts w:ascii="Verdana" w:hAnsi="Verdana"/>
          <w:sz w:val="18"/>
          <w:szCs w:val="18"/>
        </w:rPr>
        <w:br/>
      </w:r>
      <w:r w:rsidR="006A50F8">
        <w:rPr>
          <w:rFonts w:ascii="Verdana" w:hAnsi="Verdana"/>
          <w:sz w:val="18"/>
          <w:szCs w:val="18"/>
        </w:rPr>
        <w:br/>
      </w:r>
      <w:r w:rsidRPr="00A36244">
        <w:rPr>
          <w:rFonts w:ascii="Verdana" w:hAnsi="Verdana"/>
          <w:sz w:val="18"/>
          <w:szCs w:val="18"/>
        </w:rPr>
        <w:t xml:space="preserve">Man bedenke außerdem, dass in vielen Ländern die Arbeitslosen nicht systematisch erfasst werden und die Statistiker*innen auf andere Messmethoden, etwa Hochrechnungen anhand von Umfragen, angewiesen sind. In der Bundesrepublik sank die Arbeitslosenquote prägnant in den 1950er und 1960er Jahren, während sie in den </w:t>
      </w:r>
      <w:r w:rsidR="0012044A">
        <w:rPr>
          <w:rFonts w:ascii="Verdana" w:hAnsi="Verdana"/>
          <w:sz w:val="18"/>
          <w:szCs w:val="18"/>
        </w:rPr>
        <w:t>1970er</w:t>
      </w:r>
      <w:r w:rsidRPr="00A36244">
        <w:rPr>
          <w:rFonts w:ascii="Verdana" w:hAnsi="Verdana"/>
          <w:sz w:val="18"/>
          <w:szCs w:val="18"/>
        </w:rPr>
        <w:t xml:space="preserve"> und </w:t>
      </w:r>
      <w:r w:rsidR="0012044A">
        <w:rPr>
          <w:rFonts w:ascii="Verdana" w:hAnsi="Verdana"/>
          <w:sz w:val="18"/>
          <w:szCs w:val="18"/>
        </w:rPr>
        <w:t>1980er Jahren</w:t>
      </w:r>
      <w:r w:rsidR="006A50F8">
        <w:rPr>
          <w:rFonts w:ascii="Verdana" w:hAnsi="Verdana"/>
          <w:sz w:val="18"/>
          <w:szCs w:val="18"/>
        </w:rPr>
        <w:t xml:space="preserve"> in </w:t>
      </w:r>
      <w:r w:rsidRPr="00A36244">
        <w:rPr>
          <w:rFonts w:ascii="Verdana" w:hAnsi="Verdana"/>
          <w:sz w:val="18"/>
          <w:szCs w:val="18"/>
        </w:rPr>
        <w:t>konjunkturellen Schwächephasen stark anst</w:t>
      </w:r>
      <w:r w:rsidR="0012044A">
        <w:rPr>
          <w:rFonts w:ascii="Verdana" w:hAnsi="Verdana"/>
          <w:sz w:val="18"/>
          <w:szCs w:val="18"/>
        </w:rPr>
        <w:t>ieg</w:t>
      </w:r>
      <w:r w:rsidRPr="00A36244">
        <w:rPr>
          <w:rFonts w:ascii="Verdana" w:hAnsi="Verdana"/>
          <w:sz w:val="18"/>
          <w:szCs w:val="18"/>
        </w:rPr>
        <w:t xml:space="preserve">. Sie </w:t>
      </w:r>
      <w:r w:rsidR="0012044A">
        <w:rPr>
          <w:rFonts w:ascii="Verdana" w:hAnsi="Verdana"/>
          <w:sz w:val="18"/>
          <w:szCs w:val="18"/>
        </w:rPr>
        <w:t>nahm</w:t>
      </w:r>
      <w:r w:rsidRPr="00A36244">
        <w:rPr>
          <w:rFonts w:ascii="Verdana" w:hAnsi="Verdana"/>
          <w:sz w:val="18"/>
          <w:szCs w:val="18"/>
        </w:rPr>
        <w:t xml:space="preserve"> im darauffolgenden Konjunkturaufschwung zwar wieder etwas ab, erreichte dabei aber nie das Ausgangsniveau vor dem Wirtschaftsabschwung. Dieser „treppenartige“ Verlauf ist als Zeichen einer strukturellen Arbeitslosigkeit</w:t>
      </w:r>
      <w:r w:rsidR="0012044A">
        <w:rPr>
          <w:rFonts w:ascii="Verdana" w:hAnsi="Verdana"/>
          <w:sz w:val="18"/>
          <w:szCs w:val="18"/>
        </w:rPr>
        <w:t xml:space="preserve"> </w:t>
      </w:r>
      <w:r w:rsidR="0012044A" w:rsidRPr="00A36244">
        <w:rPr>
          <w:rFonts w:ascii="Verdana" w:hAnsi="Verdana"/>
          <w:sz w:val="18"/>
          <w:szCs w:val="18"/>
        </w:rPr>
        <w:t>zu interpretieren; man spricht in diesem Zusammenhang teilweise auch von der sogenannten „Sockelarbeitslosigkeit“.</w:t>
      </w:r>
      <w:r w:rsidR="00CD0F1B">
        <w:rPr>
          <w:rFonts w:ascii="Verdana" w:hAnsi="Verdana"/>
          <w:sz w:val="18"/>
          <w:szCs w:val="18"/>
        </w:rPr>
        <w:t xml:space="preserve"> </w:t>
      </w:r>
      <w:r w:rsidR="0012044A">
        <w:rPr>
          <w:rFonts w:ascii="Verdana" w:hAnsi="Verdana"/>
          <w:sz w:val="18"/>
          <w:szCs w:val="18"/>
        </w:rPr>
        <w:t>S</w:t>
      </w:r>
      <w:r w:rsidRPr="00A36244">
        <w:rPr>
          <w:rFonts w:ascii="Verdana" w:hAnsi="Verdana"/>
          <w:sz w:val="18"/>
          <w:szCs w:val="18"/>
        </w:rPr>
        <w:t>trukturelle Arbeitslosigkeit sorgte nach der Wiedervereinigung zeitweise für recht hohe Arbeitslosenquoten, während seit etwa 2005 tendenziell ein erheblicher Rückgang zu beobachten ist.</w:t>
      </w:r>
      <w:r w:rsidRPr="00A36244">
        <w:rPr>
          <w:rFonts w:ascii="Verdana" w:hAnsi="Verdana"/>
          <w:color w:val="1F497D"/>
          <w:sz w:val="18"/>
          <w:szCs w:val="18"/>
        </w:rPr>
        <w:t xml:space="preserve"> </w:t>
      </w:r>
      <w:r w:rsidRPr="00A36244">
        <w:rPr>
          <w:rFonts w:ascii="Verdana" w:hAnsi="Verdana"/>
          <w:sz w:val="18"/>
          <w:szCs w:val="18"/>
        </w:rPr>
        <w:t>Die Arbeitslosenquote lässt keine direkten Rückschlüsse auf die Höhe des Erwerbseinkommens oder die Armutsgefährdung in der Bevölkerung zu. Hierzu sind andere Indikatoren wie Bruttoeinkommen von Erwerbstätigen, Nettoeinkommen von Haushalten sowie Armutsrisikoquoten zu betrachten</w:t>
      </w:r>
      <w:r w:rsidR="006A50F8">
        <w:rPr>
          <w:rFonts w:ascii="Verdana" w:hAnsi="Verdana"/>
          <w:sz w:val="18"/>
          <w:szCs w:val="18"/>
        </w:rPr>
        <w:t>.</w:t>
      </w:r>
    </w:p>
    <w:p w14:paraId="589026D6" w14:textId="77777777" w:rsidR="0050299E" w:rsidRDefault="0050299E" w:rsidP="00A36244">
      <w:pPr>
        <w:rPr>
          <w:rFonts w:ascii="Verdana" w:hAnsi="Verdana"/>
          <w:sz w:val="18"/>
          <w:szCs w:val="18"/>
        </w:rPr>
      </w:pPr>
    </w:p>
    <w:tbl>
      <w:tblPr>
        <w:tblW w:w="8787"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57" w:type="dxa"/>
          <w:left w:w="57" w:type="dxa"/>
          <w:bottom w:w="57" w:type="dxa"/>
          <w:right w:w="57" w:type="dxa"/>
        </w:tblCellMar>
        <w:tblLook w:val="0000" w:firstRow="0" w:lastRow="0" w:firstColumn="0" w:lastColumn="0" w:noHBand="0" w:noVBand="0"/>
      </w:tblPr>
      <w:tblGrid>
        <w:gridCol w:w="8787"/>
      </w:tblGrid>
      <w:tr w:rsidR="002D5CBE" w14:paraId="5E96E381" w14:textId="77777777" w:rsidTr="0026249C">
        <w:trPr>
          <w:trHeight w:val="354"/>
        </w:trPr>
        <w:tc>
          <w:tcPr>
            <w:tcW w:w="8787" w:type="dxa"/>
          </w:tcPr>
          <w:p w14:paraId="330D08A6" w14:textId="60DE0FD1" w:rsidR="002D5CBE" w:rsidRPr="00297061" w:rsidRDefault="002D5CBE" w:rsidP="002D5CBE">
            <w:pPr>
              <w:rPr>
                <w:rFonts w:ascii="Verdana" w:hAnsi="Verdana" w:cs="Caecilia LT Std Roman"/>
                <w:b/>
                <w:bCs/>
                <w:color w:val="000000"/>
                <w:sz w:val="20"/>
                <w:szCs w:val="20"/>
              </w:rPr>
            </w:pPr>
            <w:r w:rsidRPr="00297061">
              <w:rPr>
                <w:rFonts w:ascii="Verdana" w:hAnsi="Verdana" w:cs="Caecilia LT Std Roman"/>
                <w:b/>
                <w:bCs/>
                <w:color w:val="000000"/>
                <w:sz w:val="20"/>
                <w:szCs w:val="20"/>
              </w:rPr>
              <w:t>Lösungshinweise</w:t>
            </w:r>
            <w:r w:rsidRPr="00297061">
              <w:rPr>
                <w:rFonts w:ascii="Verdana" w:hAnsi="Verdana"/>
                <w:sz w:val="18"/>
                <w:szCs w:val="18"/>
              </w:rPr>
              <w:t xml:space="preserve"> </w:t>
            </w:r>
            <w:r>
              <w:rPr>
                <w:rFonts w:ascii="Verdana" w:hAnsi="Verdana"/>
                <w:sz w:val="18"/>
                <w:szCs w:val="18"/>
              </w:rPr>
              <w:br/>
            </w:r>
          </w:p>
          <w:p w14:paraId="1611A704" w14:textId="5BC9839D" w:rsidR="002D5CBE" w:rsidRPr="00297061" w:rsidRDefault="002D5CBE" w:rsidP="00664E72">
            <w:pPr>
              <w:pStyle w:val="Listenabsatz"/>
              <w:numPr>
                <w:ilvl w:val="0"/>
                <w:numId w:val="1"/>
              </w:numPr>
              <w:rPr>
                <w:rFonts w:ascii="Verdana" w:hAnsi="Verdana" w:cs="Caecilia LT Std Roman"/>
                <w:b/>
                <w:bCs/>
                <w:color w:val="000000"/>
                <w:sz w:val="20"/>
                <w:szCs w:val="20"/>
              </w:rPr>
            </w:pPr>
            <w:r>
              <w:rPr>
                <w:rFonts w:ascii="Verdana" w:hAnsi="Verdana"/>
                <w:sz w:val="18"/>
                <w:szCs w:val="18"/>
              </w:rPr>
              <w:t xml:space="preserve">Bei </w:t>
            </w:r>
            <w:r w:rsidRPr="00297061">
              <w:rPr>
                <w:rFonts w:ascii="Verdana" w:hAnsi="Verdana"/>
                <w:sz w:val="18"/>
                <w:szCs w:val="18"/>
              </w:rPr>
              <w:t>der Wahl der Diagrammart stehen zum Beispiel Linien-, Säulen-, Balken- und Kreisdiagramm zur Verfügung. Sinnvoll ist besonders die Darstellung als Liniendiagramm, da hier ein längerer Zeitraum mit vielen Messpunkten dargestellt werden kann. Hinweis: Wenn anschließend auch Aufgabe 2 bearbeitet werden soll, müssen die Schüler*innen darauf hingewiesen werden, bei der Ordinate auch negative Werte vorzusehen, da in der Tabelle auch negative Inflationsraten verzeichnet sind. Eine Darstellung als Säulen- oder Balkendiagramm ist nur dann sinnvoll, wenn die Anzahl der darzustellenden Messwerte reduziert wird. Eine Darstellung als Kreisdiagramm („Pie Chart“) ist zur Darstellung von Zeitreihen nicht empfehlenswert</w:t>
            </w:r>
            <w:r w:rsidRPr="00297061">
              <w:rPr>
                <w:rFonts w:ascii="Verdana" w:hAnsi="Verdana" w:cs="Caecilia LT Std Roman"/>
                <w:color w:val="000000"/>
                <w:sz w:val="18"/>
                <w:szCs w:val="18"/>
              </w:rPr>
              <w:t>.</w:t>
            </w:r>
            <w:r>
              <w:rPr>
                <w:rFonts w:ascii="Verdana" w:hAnsi="Verdana" w:cs="Caecilia LT Std Roman"/>
                <w:color w:val="000000"/>
                <w:sz w:val="18"/>
                <w:szCs w:val="18"/>
              </w:rPr>
              <w:br/>
            </w:r>
          </w:p>
          <w:p w14:paraId="34132C4A" w14:textId="553E71D7" w:rsidR="002D5CBE" w:rsidRPr="00995147" w:rsidRDefault="002D5CBE" w:rsidP="00CD0F1B">
            <w:pPr>
              <w:pStyle w:val="Listenabsatz"/>
              <w:numPr>
                <w:ilvl w:val="0"/>
                <w:numId w:val="1"/>
              </w:numPr>
              <w:rPr>
                <w:rFonts w:ascii="Verdana" w:hAnsi="Verdana" w:cs="Caecilia LT Std Roman"/>
                <w:b/>
                <w:bCs/>
                <w:color w:val="000000"/>
                <w:sz w:val="20"/>
                <w:szCs w:val="20"/>
              </w:rPr>
            </w:pPr>
            <w:r w:rsidRPr="00297061">
              <w:rPr>
                <w:rFonts w:ascii="Verdana" w:hAnsi="Verdana"/>
                <w:sz w:val="18"/>
                <w:szCs w:val="18"/>
              </w:rPr>
              <w:t xml:space="preserve">Der Vergleich von Arbeitslosigkeit und Inflation geht auf den folgenden Zusammenhang zurück, den der englische Ökonom A. W. H. Phillips (1914 bis 1975) postulierte: Demnach gehe eine geringe Arbeitslosenquote </w:t>
            </w:r>
            <w:r>
              <w:rPr>
                <w:rFonts w:ascii="Verdana" w:hAnsi="Verdana"/>
                <w:sz w:val="18"/>
                <w:szCs w:val="18"/>
              </w:rPr>
              <w:t xml:space="preserve">tendenziell mit einer höheren </w:t>
            </w:r>
            <w:r w:rsidRPr="00297061">
              <w:rPr>
                <w:rFonts w:ascii="Verdana" w:hAnsi="Verdana"/>
                <w:sz w:val="18"/>
                <w:szCs w:val="18"/>
              </w:rPr>
              <w:t>Inflationsrate einher. Zeitweise lässt sich ein solcher Zusammenhang in der bundesdeutschen Statistik tatsächlich feststellen. Eine geringe Arbeitslosigkeit bedeutet möglicherweise einen Mangel an Arbeitskräften in einigen Regionen und Berufen, was wiederum zu Lohnsteigerungen führt. Diese Kostensteigerungen können die Unternehmen eventuell mit steigenden Preisen kompensieren, das führt dann zur Inflation. Bekannt ist folgendes geflügelte Wort des früheren Bundeskanzlers Helmut Schmidt (1918 bis 2015): „Lieber 5 Prozent Inflation als 5 Prozent Arbeitslosigkeit.“ Andererseits gibt es aber auch zahlreiche Beispiele dafür, dass eine geringe Inflation und besonders eine Inflation in der Nähe des heutigen Zielwertes der Europäischen Zentralbank (knapp unter 2 Prozent) mit sinkenden Arbeitslosenquoten einhergehen kann. Stabile Preise bedeuten für Unternehmer*innen und Verbraucher*innen eine sichere Kalkulationsgrundlage und können insofern als Voraussetzung für Investitionen und Aufschwung angesehen werden. Besonders ungünstig sind dagegen Situationen von gleichzeitig hoher Arbeitslosigkeit, wirtschaftlicher Stagnation und hoher Inflation („Stagflation“).</w:t>
            </w:r>
          </w:p>
        </w:tc>
      </w:tr>
    </w:tbl>
    <w:p w14:paraId="69C4BFE1" w14:textId="77777777" w:rsidR="002D5CBE" w:rsidRDefault="002D5CBE" w:rsidP="001931AB">
      <w:pPr>
        <w:rPr>
          <w:rFonts w:ascii="Verdana" w:hAnsi="Verdana"/>
          <w:sz w:val="18"/>
          <w:szCs w:val="18"/>
        </w:rPr>
      </w:pPr>
    </w:p>
    <w:sectPr w:rsidR="002D5CBE" w:rsidSect="00287CA3">
      <w:headerReference w:type="default" r:id="rId9"/>
      <w:footerReference w:type="default" r:id="rId10"/>
      <w:footerReference w:type="first" r:id="rId11"/>
      <w:pgSz w:w="11900" w:h="16840"/>
      <w:pgMar w:top="568" w:right="1417" w:bottom="1134" w:left="1701" w:header="567"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49FCC" w14:textId="77777777" w:rsidR="00C33DE2" w:rsidRDefault="00C33DE2">
      <w:r>
        <w:separator/>
      </w:r>
    </w:p>
  </w:endnote>
  <w:endnote w:type="continuationSeparator" w:id="0">
    <w:p w14:paraId="24FFA650" w14:textId="77777777" w:rsidR="00C33DE2" w:rsidRDefault="00C33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da">
    <w:altName w:val="Calibri"/>
    <w:panose1 w:val="020B0604020202020204"/>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DIN">
    <w:altName w:val="Calibri"/>
    <w:panose1 w:val="00000000000000000000"/>
    <w:charset w:val="00"/>
    <w:family w:val="swiss"/>
    <w:notTrueType/>
    <w:pitch w:val="default"/>
    <w:sig w:usb0="00000003" w:usb1="00000000" w:usb2="00000000" w:usb3="00000000" w:csb0="00000001" w:csb1="00000000"/>
  </w:font>
  <w:font w:name="Verdana-Bold">
    <w:panose1 w:val="020B0604020202020204"/>
    <w:charset w:val="00"/>
    <w:family w:val="auto"/>
    <w:pitch w:val="variable"/>
    <w:sig w:usb0="A10006FF" w:usb1="4000205B" w:usb2="00000010" w:usb3="00000000" w:csb0="0000019F" w:csb1="00000000"/>
  </w:font>
  <w:font w:name="Caecilia LT Std Roman">
    <w:altName w:val="Cambria"/>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80A3A" w14:textId="0658D2E1" w:rsidR="00930ACB" w:rsidRPr="00AA4FE0" w:rsidRDefault="00565AC2" w:rsidP="00F35ECF">
    <w:pPr>
      <w:tabs>
        <w:tab w:val="right" w:pos="8789"/>
      </w:tabs>
      <w:rPr>
        <w:rFonts w:ascii="Verdana" w:hAnsi="Verdana"/>
        <w:color w:val="000000" w:themeColor="text1"/>
        <w:sz w:val="16"/>
        <w:szCs w:val="16"/>
        <w:u w:val="single"/>
      </w:rPr>
    </w:pPr>
    <w:r w:rsidRPr="00AA4FE0">
      <w:rPr>
        <w:rFonts w:ascii="Verdana" w:hAnsi="Verdana"/>
        <w:color w:val="000000" w:themeColor="text1"/>
        <w:sz w:val="16"/>
        <w:szCs w:val="16"/>
        <w:u w:val="single"/>
      </w:rPr>
      <w:t xml:space="preserve">© </w:t>
    </w:r>
    <w:r w:rsidR="00AA4FE0" w:rsidRPr="00AA4FE0">
      <w:rPr>
        <w:rFonts w:ascii="Verdana" w:hAnsi="Verdana"/>
        <w:color w:val="000000" w:themeColor="text1"/>
        <w:sz w:val="16"/>
        <w:szCs w:val="16"/>
        <w:u w:val="single"/>
      </w:rPr>
      <w:t>BMAS</w:t>
    </w:r>
    <w:r w:rsidR="00A404FB" w:rsidRPr="00AA4FE0">
      <w:rPr>
        <w:rFonts w:ascii="Verdana" w:hAnsi="Verdana"/>
        <w:color w:val="000000" w:themeColor="text1"/>
        <w:sz w:val="16"/>
        <w:szCs w:val="16"/>
        <w:u w:val="single"/>
      </w:rPr>
      <w:t xml:space="preserve"> und </w:t>
    </w:r>
    <w:r w:rsidR="00AA4FE0" w:rsidRPr="00AA4FE0">
      <w:rPr>
        <w:rFonts w:ascii="Verdana" w:hAnsi="Verdana"/>
        <w:color w:val="000000" w:themeColor="text1"/>
        <w:sz w:val="16"/>
        <w:szCs w:val="16"/>
        <w:u w:val="single"/>
      </w:rPr>
      <w:t>K</w:t>
    </w:r>
    <w:r w:rsidR="00AA4FE0">
      <w:rPr>
        <w:rFonts w:ascii="Verdana" w:hAnsi="Verdana"/>
        <w:color w:val="000000" w:themeColor="text1"/>
        <w:sz w:val="16"/>
        <w:szCs w:val="16"/>
        <w:u w:val="single"/>
      </w:rPr>
      <w:t>lett</w:t>
    </w:r>
    <w:r w:rsidR="00AA4FE0" w:rsidRPr="00AA4FE0">
      <w:rPr>
        <w:rFonts w:ascii="Verdana" w:hAnsi="Verdana"/>
        <w:color w:val="000000" w:themeColor="text1"/>
        <w:sz w:val="16"/>
        <w:szCs w:val="16"/>
        <w:u w:val="single"/>
      </w:rPr>
      <w:t xml:space="preserve"> </w:t>
    </w:r>
    <w:r w:rsidR="00AA4FE0">
      <w:rPr>
        <w:rFonts w:ascii="Verdana" w:hAnsi="Verdana"/>
        <w:color w:val="000000" w:themeColor="text1"/>
        <w:sz w:val="16"/>
        <w:szCs w:val="16"/>
        <w:u w:val="single"/>
      </w:rPr>
      <w:t>MINT</w:t>
    </w:r>
    <w:r w:rsidRPr="00AA4FE0">
      <w:rPr>
        <w:rFonts w:ascii="Verdana" w:hAnsi="Verdana"/>
        <w:color w:val="000000" w:themeColor="text1"/>
        <w:sz w:val="16"/>
        <w:szCs w:val="16"/>
        <w:u w:val="single"/>
      </w:rPr>
      <w:t xml:space="preserve">. </w:t>
    </w:r>
    <w:r w:rsidR="002B4063">
      <w:rPr>
        <w:rFonts w:ascii="Verdana" w:hAnsi="Verdana"/>
        <w:color w:val="000000" w:themeColor="text1"/>
        <w:sz w:val="16"/>
        <w:szCs w:val="16"/>
        <w:u w:val="single"/>
      </w:rPr>
      <w:t xml:space="preserve">Stand Oktober 2019. </w:t>
    </w:r>
    <w:r w:rsidRPr="00AA4FE0">
      <w:rPr>
        <w:rFonts w:ascii="Verdana" w:hAnsi="Verdana"/>
        <w:color w:val="000000" w:themeColor="text1"/>
        <w:sz w:val="16"/>
        <w:szCs w:val="16"/>
        <w:u w:val="single"/>
      </w:rPr>
      <w:t>Als Kopiervorlage freigegeben</w:t>
    </w:r>
    <w:r w:rsidR="00DB5D6F">
      <w:rPr>
        <w:rFonts w:ascii="Verdana" w:hAnsi="Verdana"/>
        <w:color w:val="000000" w:themeColor="text1"/>
        <w:sz w:val="16"/>
        <w:szCs w:val="16"/>
        <w:u w:val="single"/>
      </w:rPr>
      <w:t>.</w:t>
    </w:r>
    <w:r w:rsidR="00930ACB" w:rsidRPr="00AA4FE0">
      <w:rPr>
        <w:rFonts w:ascii="Verdana" w:hAnsi="Verdana"/>
        <w:color w:val="000000" w:themeColor="text1"/>
        <w:sz w:val="16"/>
        <w:szCs w:val="16"/>
        <w:u w:val="single"/>
      </w:rPr>
      <w:tab/>
      <w:t xml:space="preserve">Seite </w:t>
    </w:r>
    <w:r w:rsidR="0095249F" w:rsidRPr="00AA4FE0">
      <w:rPr>
        <w:rFonts w:ascii="Verdana" w:hAnsi="Verdana"/>
        <w:color w:val="000000" w:themeColor="text1"/>
        <w:sz w:val="16"/>
        <w:szCs w:val="16"/>
        <w:u w:val="single"/>
      </w:rPr>
      <w:fldChar w:fldCharType="begin"/>
    </w:r>
    <w:r w:rsidR="00930ACB" w:rsidRPr="00AA4FE0">
      <w:rPr>
        <w:rFonts w:ascii="Verdana" w:hAnsi="Verdana"/>
        <w:color w:val="000000" w:themeColor="text1"/>
        <w:sz w:val="16"/>
        <w:szCs w:val="16"/>
        <w:u w:val="single"/>
      </w:rPr>
      <w:instrText xml:space="preserve"> PAGE </w:instrText>
    </w:r>
    <w:r w:rsidR="0095249F" w:rsidRPr="00AA4FE0">
      <w:rPr>
        <w:rFonts w:ascii="Verdana" w:hAnsi="Verdana"/>
        <w:color w:val="000000" w:themeColor="text1"/>
        <w:sz w:val="16"/>
        <w:szCs w:val="16"/>
        <w:u w:val="single"/>
      </w:rPr>
      <w:fldChar w:fldCharType="separate"/>
    </w:r>
    <w:r w:rsidR="00DB5D6F">
      <w:rPr>
        <w:rFonts w:ascii="Verdana" w:hAnsi="Verdana"/>
        <w:noProof/>
        <w:color w:val="000000" w:themeColor="text1"/>
        <w:sz w:val="16"/>
        <w:szCs w:val="16"/>
        <w:u w:val="single"/>
      </w:rPr>
      <w:t>1</w:t>
    </w:r>
    <w:r w:rsidR="0095249F" w:rsidRPr="00AA4FE0">
      <w:rPr>
        <w:rFonts w:ascii="Verdana" w:hAnsi="Verdana"/>
        <w:color w:val="000000" w:themeColor="text1"/>
        <w:sz w:val="16"/>
        <w:szCs w:val="16"/>
        <w:u w:val="single"/>
      </w:rPr>
      <w:fldChar w:fldCharType="end"/>
    </w:r>
    <w:r w:rsidR="00930ACB" w:rsidRPr="00AA4FE0">
      <w:rPr>
        <w:rFonts w:ascii="Verdana" w:hAnsi="Verdana"/>
        <w:color w:val="000000" w:themeColor="text1"/>
        <w:sz w:val="16"/>
        <w:szCs w:val="16"/>
        <w:u w:val="single"/>
      </w:rPr>
      <w:t xml:space="preserve"> von </w:t>
    </w:r>
    <w:r w:rsidR="0095249F" w:rsidRPr="00AA4FE0">
      <w:rPr>
        <w:rFonts w:ascii="Verdana" w:hAnsi="Verdana"/>
        <w:color w:val="000000" w:themeColor="text1"/>
        <w:sz w:val="16"/>
        <w:szCs w:val="16"/>
        <w:u w:val="single"/>
      </w:rPr>
      <w:fldChar w:fldCharType="begin"/>
    </w:r>
    <w:r w:rsidR="00930ACB" w:rsidRPr="00AA4FE0">
      <w:rPr>
        <w:rFonts w:ascii="Verdana" w:hAnsi="Verdana"/>
        <w:color w:val="000000" w:themeColor="text1"/>
        <w:sz w:val="16"/>
        <w:szCs w:val="16"/>
        <w:u w:val="single"/>
      </w:rPr>
      <w:instrText xml:space="preserve"> NUMPAGES </w:instrText>
    </w:r>
    <w:r w:rsidR="0095249F" w:rsidRPr="00AA4FE0">
      <w:rPr>
        <w:rFonts w:ascii="Verdana" w:hAnsi="Verdana"/>
        <w:color w:val="000000" w:themeColor="text1"/>
        <w:sz w:val="16"/>
        <w:szCs w:val="16"/>
        <w:u w:val="single"/>
      </w:rPr>
      <w:fldChar w:fldCharType="separate"/>
    </w:r>
    <w:r w:rsidR="00DB5D6F">
      <w:rPr>
        <w:rFonts w:ascii="Verdana" w:hAnsi="Verdana"/>
        <w:noProof/>
        <w:color w:val="000000" w:themeColor="text1"/>
        <w:sz w:val="16"/>
        <w:szCs w:val="16"/>
        <w:u w:val="single"/>
      </w:rPr>
      <w:t>2</w:t>
    </w:r>
    <w:r w:rsidR="0095249F" w:rsidRPr="00AA4FE0">
      <w:rPr>
        <w:rFonts w:ascii="Verdana" w:hAnsi="Verdana"/>
        <w:color w:val="000000" w:themeColor="text1"/>
        <w:sz w:val="16"/>
        <w:szCs w:val="16"/>
        <w:u w:val="singl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7468B" w14:textId="2D24D0F0" w:rsidR="00AE47C0" w:rsidRPr="00AE47C0" w:rsidRDefault="00AE47C0" w:rsidP="00AE47C0">
    <w:pPr>
      <w:tabs>
        <w:tab w:val="right" w:pos="8789"/>
      </w:tabs>
      <w:rPr>
        <w:rFonts w:ascii="Verdana" w:hAnsi="Verdana"/>
        <w:color w:val="000000" w:themeColor="text1"/>
        <w:sz w:val="16"/>
        <w:szCs w:val="16"/>
        <w:u w:val="single"/>
      </w:rPr>
    </w:pPr>
    <w:r w:rsidRPr="00AA4FE0">
      <w:rPr>
        <w:rFonts w:ascii="Verdana" w:hAnsi="Verdana"/>
        <w:color w:val="000000" w:themeColor="text1"/>
        <w:sz w:val="16"/>
        <w:szCs w:val="16"/>
        <w:u w:val="single"/>
      </w:rPr>
      <w:t>© BMAS und K</w:t>
    </w:r>
    <w:r>
      <w:rPr>
        <w:rFonts w:ascii="Verdana" w:hAnsi="Verdana"/>
        <w:color w:val="000000" w:themeColor="text1"/>
        <w:sz w:val="16"/>
        <w:szCs w:val="16"/>
        <w:u w:val="single"/>
      </w:rPr>
      <w:t>lett</w:t>
    </w:r>
    <w:r w:rsidRPr="00AA4FE0">
      <w:rPr>
        <w:rFonts w:ascii="Verdana" w:hAnsi="Verdana"/>
        <w:color w:val="000000" w:themeColor="text1"/>
        <w:sz w:val="16"/>
        <w:szCs w:val="16"/>
        <w:u w:val="single"/>
      </w:rPr>
      <w:t xml:space="preserve"> </w:t>
    </w:r>
    <w:r>
      <w:rPr>
        <w:rFonts w:ascii="Verdana" w:hAnsi="Verdana"/>
        <w:color w:val="000000" w:themeColor="text1"/>
        <w:sz w:val="16"/>
        <w:szCs w:val="16"/>
        <w:u w:val="single"/>
      </w:rPr>
      <w:t>MINT</w:t>
    </w:r>
    <w:r w:rsidRPr="00AA4FE0">
      <w:rPr>
        <w:rFonts w:ascii="Verdana" w:hAnsi="Verdana"/>
        <w:color w:val="000000" w:themeColor="text1"/>
        <w:sz w:val="16"/>
        <w:szCs w:val="16"/>
        <w:u w:val="single"/>
      </w:rPr>
      <w:t xml:space="preserve">. </w:t>
    </w:r>
    <w:r>
      <w:rPr>
        <w:rFonts w:ascii="Verdana" w:hAnsi="Verdana"/>
        <w:color w:val="000000" w:themeColor="text1"/>
        <w:sz w:val="16"/>
        <w:szCs w:val="16"/>
        <w:u w:val="single"/>
      </w:rPr>
      <w:t xml:space="preserve">Stand Oktober 2019. </w:t>
    </w:r>
    <w:r w:rsidRPr="00AA4FE0">
      <w:rPr>
        <w:rFonts w:ascii="Verdana" w:hAnsi="Verdana"/>
        <w:color w:val="000000" w:themeColor="text1"/>
        <w:sz w:val="16"/>
        <w:szCs w:val="16"/>
        <w:u w:val="single"/>
      </w:rPr>
      <w:t>Als Kopiervorlage freigegeben</w:t>
    </w:r>
    <w:r>
      <w:rPr>
        <w:rFonts w:ascii="Verdana" w:hAnsi="Verdana"/>
        <w:color w:val="000000" w:themeColor="text1"/>
        <w:sz w:val="16"/>
        <w:szCs w:val="16"/>
        <w:u w:val="single"/>
      </w:rPr>
      <w:t>.</w:t>
    </w:r>
    <w:r w:rsidRPr="00AA4FE0">
      <w:rPr>
        <w:rFonts w:ascii="Verdana" w:hAnsi="Verdana"/>
        <w:color w:val="000000" w:themeColor="text1"/>
        <w:sz w:val="16"/>
        <w:szCs w:val="16"/>
        <w:u w:val="single"/>
      </w:rPr>
      <w:tab/>
      <w:t xml:space="preserve">Seite </w:t>
    </w:r>
    <w:r w:rsidRPr="00AA4FE0">
      <w:rPr>
        <w:rFonts w:ascii="Verdana" w:hAnsi="Verdana"/>
        <w:color w:val="000000" w:themeColor="text1"/>
        <w:sz w:val="16"/>
        <w:szCs w:val="16"/>
        <w:u w:val="single"/>
      </w:rPr>
      <w:fldChar w:fldCharType="begin"/>
    </w:r>
    <w:r w:rsidRPr="00AA4FE0">
      <w:rPr>
        <w:rFonts w:ascii="Verdana" w:hAnsi="Verdana"/>
        <w:color w:val="000000" w:themeColor="text1"/>
        <w:sz w:val="16"/>
        <w:szCs w:val="16"/>
        <w:u w:val="single"/>
      </w:rPr>
      <w:instrText xml:space="preserve"> PAGE </w:instrText>
    </w:r>
    <w:r w:rsidRPr="00AA4FE0">
      <w:rPr>
        <w:rFonts w:ascii="Verdana" w:hAnsi="Verdana"/>
        <w:color w:val="000000" w:themeColor="text1"/>
        <w:sz w:val="16"/>
        <w:szCs w:val="16"/>
        <w:u w:val="single"/>
      </w:rPr>
      <w:fldChar w:fldCharType="separate"/>
    </w:r>
    <w:r>
      <w:rPr>
        <w:rFonts w:ascii="Verdana" w:hAnsi="Verdana"/>
        <w:color w:val="000000" w:themeColor="text1"/>
        <w:sz w:val="16"/>
        <w:szCs w:val="16"/>
        <w:u w:val="single"/>
      </w:rPr>
      <w:t>2</w:t>
    </w:r>
    <w:r w:rsidRPr="00AA4FE0">
      <w:rPr>
        <w:rFonts w:ascii="Verdana" w:hAnsi="Verdana"/>
        <w:color w:val="000000" w:themeColor="text1"/>
        <w:sz w:val="16"/>
        <w:szCs w:val="16"/>
        <w:u w:val="single"/>
      </w:rPr>
      <w:fldChar w:fldCharType="end"/>
    </w:r>
    <w:r w:rsidRPr="00AA4FE0">
      <w:rPr>
        <w:rFonts w:ascii="Verdana" w:hAnsi="Verdana"/>
        <w:color w:val="000000" w:themeColor="text1"/>
        <w:sz w:val="16"/>
        <w:szCs w:val="16"/>
        <w:u w:val="single"/>
      </w:rPr>
      <w:t xml:space="preserve"> von </w:t>
    </w:r>
    <w:r w:rsidRPr="00AA4FE0">
      <w:rPr>
        <w:rFonts w:ascii="Verdana" w:hAnsi="Verdana"/>
        <w:color w:val="000000" w:themeColor="text1"/>
        <w:sz w:val="16"/>
        <w:szCs w:val="16"/>
        <w:u w:val="single"/>
      </w:rPr>
      <w:fldChar w:fldCharType="begin"/>
    </w:r>
    <w:r w:rsidRPr="00AA4FE0">
      <w:rPr>
        <w:rFonts w:ascii="Verdana" w:hAnsi="Verdana"/>
        <w:color w:val="000000" w:themeColor="text1"/>
        <w:sz w:val="16"/>
        <w:szCs w:val="16"/>
        <w:u w:val="single"/>
      </w:rPr>
      <w:instrText xml:space="preserve"> NUMPAGES </w:instrText>
    </w:r>
    <w:r w:rsidRPr="00AA4FE0">
      <w:rPr>
        <w:rFonts w:ascii="Verdana" w:hAnsi="Verdana"/>
        <w:color w:val="000000" w:themeColor="text1"/>
        <w:sz w:val="16"/>
        <w:szCs w:val="16"/>
        <w:u w:val="single"/>
      </w:rPr>
      <w:fldChar w:fldCharType="separate"/>
    </w:r>
    <w:r>
      <w:rPr>
        <w:rFonts w:ascii="Verdana" w:hAnsi="Verdana"/>
        <w:color w:val="000000" w:themeColor="text1"/>
        <w:sz w:val="16"/>
        <w:szCs w:val="16"/>
        <w:u w:val="single"/>
      </w:rPr>
      <w:t>2</w:t>
    </w:r>
    <w:r w:rsidRPr="00AA4FE0">
      <w:rPr>
        <w:rFonts w:ascii="Verdana" w:hAnsi="Verdana"/>
        <w:color w:val="000000" w:themeColor="text1"/>
        <w:sz w:val="16"/>
        <w:szCs w:val="16"/>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79BF8" w14:textId="77777777" w:rsidR="00C33DE2" w:rsidRDefault="00C33DE2">
      <w:r>
        <w:separator/>
      </w:r>
    </w:p>
  </w:footnote>
  <w:footnote w:type="continuationSeparator" w:id="0">
    <w:p w14:paraId="2988E3B4" w14:textId="77777777" w:rsidR="00C33DE2" w:rsidRDefault="00C33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23BFC" w14:textId="3D25E217" w:rsidR="00F0790A" w:rsidRDefault="00901D4E" w:rsidP="00F1550F">
    <w:r>
      <w:rPr>
        <w:noProof/>
        <w:color w:val="A6A6A6" w:themeColor="background1" w:themeShade="A6"/>
        <w:lang w:eastAsia="de-DE"/>
      </w:rPr>
      <w:drawing>
        <wp:inline distT="0" distB="0" distL="0" distR="0" wp14:anchorId="49A6213E" wp14:editId="1707190D">
          <wp:extent cx="2904324" cy="315623"/>
          <wp:effectExtent l="0" t="0" r="4445" b="1905"/>
          <wp:docPr id="7" name="Grafik 1" title="Logo Sozialpolit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Klett_MINT_4c.jpg"/>
                  <pic:cNvPicPr/>
                </pic:nvPicPr>
                <pic:blipFill>
                  <a:blip r:embed="rId1">
                    <a:extLst>
                      <a:ext uri="{28A0092B-C50C-407E-A947-70E740481C1C}">
                        <a14:useLocalDpi xmlns:a14="http://schemas.microsoft.com/office/drawing/2010/main" val="0"/>
                      </a:ext>
                    </a:extLst>
                  </a:blip>
                  <a:stretch>
                    <a:fillRect/>
                  </a:stretch>
                </pic:blipFill>
                <pic:spPr>
                  <a:xfrm>
                    <a:off x="0" y="0"/>
                    <a:ext cx="2904324" cy="315623"/>
                  </a:xfrm>
                  <a:prstGeom prst="rect">
                    <a:avLst/>
                  </a:prstGeom>
                </pic:spPr>
              </pic:pic>
            </a:graphicData>
          </a:graphic>
        </wp:inline>
      </w:drawing>
    </w:r>
  </w:p>
  <w:p w14:paraId="5B141766" w14:textId="0E827096" w:rsidR="00F1550F" w:rsidRPr="00800BD8" w:rsidRDefault="00F1550F" w:rsidP="00F1550F"/>
  <w:p w14:paraId="4DEF615B" w14:textId="77777777" w:rsidR="00901D4E" w:rsidRDefault="00901D4E" w:rsidP="00F1550F">
    <w:pPr>
      <w:tabs>
        <w:tab w:val="left" w:pos="5954"/>
      </w:tabs>
      <w:ind w:right="-7"/>
      <w:rPr>
        <w:rFonts w:ascii="Verdana" w:hAnsi="Verdana"/>
        <w:b/>
        <w:bCs/>
      </w:rPr>
    </w:pPr>
  </w:p>
  <w:p w14:paraId="25032B89" w14:textId="508B736C" w:rsidR="00F1550F" w:rsidRPr="00605A9D" w:rsidRDefault="002D6425" w:rsidP="00F1550F">
    <w:pPr>
      <w:tabs>
        <w:tab w:val="left" w:pos="5954"/>
      </w:tabs>
      <w:ind w:right="-7"/>
      <w:rPr>
        <w:rFonts w:ascii="Verdana" w:hAnsi="Verdana"/>
      </w:rPr>
    </w:pPr>
    <w:r>
      <w:rPr>
        <w:rFonts w:ascii="Verdana" w:hAnsi="Verdana"/>
        <w:b/>
        <w:bCs/>
      </w:rPr>
      <w:t>ARBEITSLOS</w:t>
    </w:r>
    <w:r w:rsidR="004B4E5D">
      <w:rPr>
        <w:rFonts w:ascii="Verdana" w:hAnsi="Verdana"/>
        <w:b/>
        <w:bCs/>
      </w:rPr>
      <w:t>IGKEIT</w:t>
    </w:r>
  </w:p>
  <w:p w14:paraId="05A9DF58" w14:textId="2185115C" w:rsidR="00930ACB" w:rsidRPr="00F1550F" w:rsidRDefault="00930ACB" w:rsidP="00F1550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04A6F"/>
    <w:multiLevelType w:val="hybridMultilevel"/>
    <w:tmpl w:val="A864B302"/>
    <w:lvl w:ilvl="0" w:tplc="04D6C410">
      <w:start w:val="2"/>
      <w:numFmt w:val="decimal"/>
      <w:lvlText w:val="%1a.)*"/>
      <w:lvlJc w:val="left"/>
      <w:pPr>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9E75CED"/>
    <w:multiLevelType w:val="hybridMultilevel"/>
    <w:tmpl w:val="69D46102"/>
    <w:lvl w:ilvl="0" w:tplc="3FECBF16">
      <w:start w:val="1"/>
      <w:numFmt w:val="decimal"/>
      <w:lvlText w:val="%1."/>
      <w:lvlJc w:val="left"/>
      <w:pPr>
        <w:ind w:left="567" w:hanging="567"/>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58BC7273"/>
    <w:multiLevelType w:val="hybridMultilevel"/>
    <w:tmpl w:val="074A1BF4"/>
    <w:lvl w:ilvl="0" w:tplc="06286EDE">
      <w:start w:val="2"/>
      <w:numFmt w:val="decimal"/>
      <w:lvlText w:val="%1b.)*"/>
      <w:lvlJc w:val="left"/>
      <w:pPr>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CA43E55"/>
    <w:multiLevelType w:val="hybridMultilevel"/>
    <w:tmpl w:val="2D2EC7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embedSystemFonts/>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BD8"/>
    <w:rsid w:val="00004CEF"/>
    <w:rsid w:val="000106E7"/>
    <w:rsid w:val="0003297D"/>
    <w:rsid w:val="000455C4"/>
    <w:rsid w:val="00085AF6"/>
    <w:rsid w:val="00091657"/>
    <w:rsid w:val="000A385A"/>
    <w:rsid w:val="000D5015"/>
    <w:rsid w:val="000D61E5"/>
    <w:rsid w:val="0012044A"/>
    <w:rsid w:val="00142BF0"/>
    <w:rsid w:val="001459B3"/>
    <w:rsid w:val="001904DE"/>
    <w:rsid w:val="001931AB"/>
    <w:rsid w:val="001A4AC5"/>
    <w:rsid w:val="001B555E"/>
    <w:rsid w:val="001F0084"/>
    <w:rsid w:val="00202B1B"/>
    <w:rsid w:val="00206A5C"/>
    <w:rsid w:val="0023788C"/>
    <w:rsid w:val="00247720"/>
    <w:rsid w:val="0026249C"/>
    <w:rsid w:val="00271B95"/>
    <w:rsid w:val="00274633"/>
    <w:rsid w:val="00287CA3"/>
    <w:rsid w:val="00297061"/>
    <w:rsid w:val="002A0E1A"/>
    <w:rsid w:val="002B4063"/>
    <w:rsid w:val="002B4C12"/>
    <w:rsid w:val="002C059D"/>
    <w:rsid w:val="002C26F5"/>
    <w:rsid w:val="002D5CBE"/>
    <w:rsid w:val="002D6425"/>
    <w:rsid w:val="002F25B5"/>
    <w:rsid w:val="00323884"/>
    <w:rsid w:val="00324726"/>
    <w:rsid w:val="00332584"/>
    <w:rsid w:val="00351277"/>
    <w:rsid w:val="003C16CD"/>
    <w:rsid w:val="003D1346"/>
    <w:rsid w:val="003E51FA"/>
    <w:rsid w:val="00401656"/>
    <w:rsid w:val="00406DFC"/>
    <w:rsid w:val="004103B4"/>
    <w:rsid w:val="0043332F"/>
    <w:rsid w:val="0045489D"/>
    <w:rsid w:val="00485CEF"/>
    <w:rsid w:val="004866C2"/>
    <w:rsid w:val="00487516"/>
    <w:rsid w:val="004A2800"/>
    <w:rsid w:val="004B4E5D"/>
    <w:rsid w:val="004D7799"/>
    <w:rsid w:val="0050299E"/>
    <w:rsid w:val="0052225A"/>
    <w:rsid w:val="00531C68"/>
    <w:rsid w:val="00537F27"/>
    <w:rsid w:val="00542FE5"/>
    <w:rsid w:val="00565AC2"/>
    <w:rsid w:val="00567061"/>
    <w:rsid w:val="0057538D"/>
    <w:rsid w:val="00581908"/>
    <w:rsid w:val="005E6908"/>
    <w:rsid w:val="00605A9D"/>
    <w:rsid w:val="00633A4A"/>
    <w:rsid w:val="00635E04"/>
    <w:rsid w:val="00664E72"/>
    <w:rsid w:val="006921B4"/>
    <w:rsid w:val="006A50F8"/>
    <w:rsid w:val="006E15A8"/>
    <w:rsid w:val="006E2D2A"/>
    <w:rsid w:val="00785E31"/>
    <w:rsid w:val="00797536"/>
    <w:rsid w:val="007C32BA"/>
    <w:rsid w:val="007E2D7C"/>
    <w:rsid w:val="007F097F"/>
    <w:rsid w:val="00800BD8"/>
    <w:rsid w:val="00851F93"/>
    <w:rsid w:val="0086256D"/>
    <w:rsid w:val="00865FEE"/>
    <w:rsid w:val="008940E0"/>
    <w:rsid w:val="008C3C04"/>
    <w:rsid w:val="008E10EF"/>
    <w:rsid w:val="008E23CF"/>
    <w:rsid w:val="008E2C66"/>
    <w:rsid w:val="00901D4E"/>
    <w:rsid w:val="00905DDC"/>
    <w:rsid w:val="009224E0"/>
    <w:rsid w:val="00930ACB"/>
    <w:rsid w:val="00934E03"/>
    <w:rsid w:val="00946BB0"/>
    <w:rsid w:val="0095249F"/>
    <w:rsid w:val="00961DDF"/>
    <w:rsid w:val="00982F48"/>
    <w:rsid w:val="0098303D"/>
    <w:rsid w:val="00995147"/>
    <w:rsid w:val="009A069E"/>
    <w:rsid w:val="009B3454"/>
    <w:rsid w:val="009D3936"/>
    <w:rsid w:val="009E0BE6"/>
    <w:rsid w:val="00A12BB8"/>
    <w:rsid w:val="00A264BA"/>
    <w:rsid w:val="00A339D4"/>
    <w:rsid w:val="00A36244"/>
    <w:rsid w:val="00A404FB"/>
    <w:rsid w:val="00A57940"/>
    <w:rsid w:val="00A638C2"/>
    <w:rsid w:val="00AA4FE0"/>
    <w:rsid w:val="00AE47C0"/>
    <w:rsid w:val="00AF4C85"/>
    <w:rsid w:val="00B06EB7"/>
    <w:rsid w:val="00B15D8E"/>
    <w:rsid w:val="00B162C3"/>
    <w:rsid w:val="00B20822"/>
    <w:rsid w:val="00B22B24"/>
    <w:rsid w:val="00B81E5A"/>
    <w:rsid w:val="00BA4D75"/>
    <w:rsid w:val="00BE466B"/>
    <w:rsid w:val="00BF1C5C"/>
    <w:rsid w:val="00BF5C3A"/>
    <w:rsid w:val="00C061E8"/>
    <w:rsid w:val="00C149D8"/>
    <w:rsid w:val="00C33DE2"/>
    <w:rsid w:val="00C75DE6"/>
    <w:rsid w:val="00CC229A"/>
    <w:rsid w:val="00CC22DF"/>
    <w:rsid w:val="00CD0F1B"/>
    <w:rsid w:val="00D1287A"/>
    <w:rsid w:val="00D208D1"/>
    <w:rsid w:val="00D208E8"/>
    <w:rsid w:val="00D46693"/>
    <w:rsid w:val="00D51722"/>
    <w:rsid w:val="00DB1BFC"/>
    <w:rsid w:val="00DB5D6F"/>
    <w:rsid w:val="00E2276B"/>
    <w:rsid w:val="00E25726"/>
    <w:rsid w:val="00E439AB"/>
    <w:rsid w:val="00E522F5"/>
    <w:rsid w:val="00E668A4"/>
    <w:rsid w:val="00E85D09"/>
    <w:rsid w:val="00E94789"/>
    <w:rsid w:val="00ED2824"/>
    <w:rsid w:val="00EE27A9"/>
    <w:rsid w:val="00EE3602"/>
    <w:rsid w:val="00F0790A"/>
    <w:rsid w:val="00F1550F"/>
    <w:rsid w:val="00F26126"/>
    <w:rsid w:val="00F26192"/>
    <w:rsid w:val="00F35ECF"/>
    <w:rsid w:val="00F703A5"/>
    <w:rsid w:val="00F734E2"/>
    <w:rsid w:val="00F92E0D"/>
    <w:rsid w:val="00FE02BA"/>
    <w:rsid w:val="00FF06B7"/>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B669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F097F"/>
    <w:rPr>
      <w:rFonts w:ascii="Arial" w:hAnsi="Arial" w:cs="Arial"/>
      <w:sz w:val="22"/>
      <w:szCs w:val="22"/>
    </w:rPr>
  </w:style>
  <w:style w:type="paragraph" w:styleId="berschrift1">
    <w:name w:val="heading 1"/>
    <w:basedOn w:val="Standard"/>
    <w:next w:val="Standard"/>
    <w:link w:val="berschrift1Zchn"/>
    <w:uiPriority w:val="9"/>
    <w:qFormat/>
    <w:rsid w:val="00800BD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rsid w:val="00BF1C5C"/>
    <w:pPr>
      <w:keepNext/>
      <w:keepLines/>
      <w:spacing w:before="200"/>
      <w:outlineLvl w:val="1"/>
    </w:pPr>
    <w:rPr>
      <w:rFonts w:asciiTheme="majorHAnsi" w:eastAsiaTheme="majorEastAsia" w:hAnsiTheme="majorHAnsi" w:cstheme="majorBidi"/>
      <w:b/>
      <w:bCs/>
      <w:color w:val="4F81BD" w:themeColor="accent1"/>
      <w:sz w:val="28"/>
      <w:szCs w:val="26"/>
    </w:rPr>
  </w:style>
  <w:style w:type="paragraph" w:styleId="berschrift3">
    <w:name w:val="heading 3"/>
    <w:basedOn w:val="Standard"/>
    <w:next w:val="Standard"/>
    <w:link w:val="berschrift3Zchn"/>
    <w:uiPriority w:val="9"/>
    <w:unhideWhenUsed/>
    <w:qFormat/>
    <w:rsid w:val="0098303D"/>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00BD8"/>
    <w:pPr>
      <w:tabs>
        <w:tab w:val="center" w:pos="4536"/>
        <w:tab w:val="right" w:pos="9072"/>
      </w:tabs>
    </w:pPr>
  </w:style>
  <w:style w:type="character" w:customStyle="1" w:styleId="KopfzeileZchn">
    <w:name w:val="Kopfzeile Zchn"/>
    <w:basedOn w:val="Absatz-Standardschriftart"/>
    <w:link w:val="Kopfzeile"/>
    <w:uiPriority w:val="99"/>
    <w:rsid w:val="00800BD8"/>
  </w:style>
  <w:style w:type="paragraph" w:styleId="Fuzeile">
    <w:name w:val="footer"/>
    <w:basedOn w:val="Standard"/>
    <w:link w:val="FuzeileZchn"/>
    <w:uiPriority w:val="99"/>
    <w:unhideWhenUsed/>
    <w:rsid w:val="00800BD8"/>
    <w:pPr>
      <w:tabs>
        <w:tab w:val="center" w:pos="4536"/>
        <w:tab w:val="right" w:pos="9072"/>
      </w:tabs>
    </w:pPr>
  </w:style>
  <w:style w:type="character" w:customStyle="1" w:styleId="FuzeileZchn">
    <w:name w:val="Fußzeile Zchn"/>
    <w:basedOn w:val="Absatz-Standardschriftart"/>
    <w:link w:val="Fuzeile"/>
    <w:uiPriority w:val="99"/>
    <w:rsid w:val="00800BD8"/>
  </w:style>
  <w:style w:type="character" w:customStyle="1" w:styleId="berschrift1Zchn">
    <w:name w:val="Überschrift 1 Zchn"/>
    <w:basedOn w:val="Absatz-Standardschriftart"/>
    <w:link w:val="berschrift1"/>
    <w:uiPriority w:val="9"/>
    <w:rsid w:val="00800BD8"/>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sid w:val="00BF1C5C"/>
    <w:rPr>
      <w:rFonts w:asciiTheme="majorHAnsi" w:eastAsiaTheme="majorEastAsia" w:hAnsiTheme="majorHAnsi" w:cstheme="majorBidi"/>
      <w:b/>
      <w:bCs/>
      <w:color w:val="4F81BD" w:themeColor="accent1"/>
      <w:sz w:val="28"/>
      <w:szCs w:val="26"/>
    </w:rPr>
  </w:style>
  <w:style w:type="paragraph" w:styleId="Listenabsatz">
    <w:name w:val="List Paragraph"/>
    <w:basedOn w:val="Standard"/>
    <w:uiPriority w:val="34"/>
    <w:qFormat/>
    <w:rsid w:val="00E2276B"/>
    <w:pPr>
      <w:ind w:left="720"/>
      <w:contextualSpacing/>
    </w:pPr>
  </w:style>
  <w:style w:type="character" w:styleId="Seitenzahl">
    <w:name w:val="page number"/>
    <w:basedOn w:val="Absatz-Standardschriftart"/>
    <w:uiPriority w:val="99"/>
    <w:semiHidden/>
    <w:unhideWhenUsed/>
    <w:rsid w:val="00332584"/>
  </w:style>
  <w:style w:type="character" w:customStyle="1" w:styleId="berschrift3Zchn">
    <w:name w:val="Überschrift 3 Zchn"/>
    <w:basedOn w:val="Absatz-Standardschriftart"/>
    <w:link w:val="berschrift3"/>
    <w:uiPriority w:val="9"/>
    <w:rsid w:val="0098303D"/>
    <w:rPr>
      <w:rFonts w:asciiTheme="majorHAnsi" w:eastAsiaTheme="majorEastAsia" w:hAnsiTheme="majorHAnsi" w:cstheme="majorBidi"/>
      <w:b/>
      <w:bCs/>
      <w:color w:val="4F81BD" w:themeColor="accent1"/>
    </w:rPr>
  </w:style>
  <w:style w:type="paragraph" w:styleId="Sprechblasentext">
    <w:name w:val="Balloon Text"/>
    <w:basedOn w:val="Standard"/>
    <w:link w:val="SprechblasentextZchn"/>
    <w:uiPriority w:val="99"/>
    <w:semiHidden/>
    <w:unhideWhenUsed/>
    <w:rsid w:val="00A404F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404FB"/>
    <w:rPr>
      <w:rFonts w:ascii="Tahoma" w:hAnsi="Tahoma" w:cs="Tahoma"/>
      <w:sz w:val="16"/>
      <w:szCs w:val="16"/>
    </w:rPr>
  </w:style>
  <w:style w:type="character" w:customStyle="1" w:styleId="apple-converted-space">
    <w:name w:val="apple-converted-space"/>
    <w:basedOn w:val="Absatz-Standardschriftart"/>
    <w:rsid w:val="001459B3"/>
  </w:style>
  <w:style w:type="character" w:customStyle="1" w:styleId="spwsee-also-link">
    <w:name w:val="spw_see-also-link"/>
    <w:basedOn w:val="Absatz-Standardschriftart"/>
    <w:rsid w:val="001459B3"/>
  </w:style>
  <w:style w:type="character" w:styleId="Hyperlink">
    <w:name w:val="Hyperlink"/>
    <w:basedOn w:val="Absatz-Standardschriftart"/>
    <w:uiPriority w:val="99"/>
    <w:unhideWhenUsed/>
    <w:rsid w:val="001459B3"/>
    <w:rPr>
      <w:color w:val="0000FF" w:themeColor="hyperlink"/>
      <w:u w:val="single"/>
    </w:rPr>
  </w:style>
  <w:style w:type="character" w:styleId="Kommentarzeichen">
    <w:name w:val="annotation reference"/>
    <w:basedOn w:val="Absatz-Standardschriftart"/>
    <w:uiPriority w:val="99"/>
    <w:semiHidden/>
    <w:unhideWhenUsed/>
    <w:rsid w:val="007F097F"/>
    <w:rPr>
      <w:sz w:val="16"/>
      <w:szCs w:val="16"/>
    </w:rPr>
  </w:style>
  <w:style w:type="paragraph" w:styleId="Kommentartext">
    <w:name w:val="annotation text"/>
    <w:basedOn w:val="Standard"/>
    <w:link w:val="KommentartextZchn"/>
    <w:uiPriority w:val="99"/>
    <w:semiHidden/>
    <w:unhideWhenUsed/>
    <w:rsid w:val="007F097F"/>
    <w:rPr>
      <w:sz w:val="20"/>
      <w:szCs w:val="20"/>
    </w:rPr>
  </w:style>
  <w:style w:type="character" w:customStyle="1" w:styleId="KommentartextZchn">
    <w:name w:val="Kommentartext Zchn"/>
    <w:basedOn w:val="Absatz-Standardschriftart"/>
    <w:link w:val="Kommentartext"/>
    <w:uiPriority w:val="99"/>
    <w:semiHidden/>
    <w:rsid w:val="007F097F"/>
    <w:rPr>
      <w:rFonts w:ascii="Arial" w:hAnsi="Arial" w:cs="Arial"/>
      <w:sz w:val="20"/>
      <w:szCs w:val="20"/>
    </w:rPr>
  </w:style>
  <w:style w:type="paragraph" w:customStyle="1" w:styleId="Default">
    <w:name w:val="Default"/>
    <w:rsid w:val="007F097F"/>
    <w:pPr>
      <w:autoSpaceDE w:val="0"/>
      <w:autoSpaceDN w:val="0"/>
      <w:adjustRightInd w:val="0"/>
    </w:pPr>
    <w:rPr>
      <w:rFonts w:ascii="Coda" w:hAnsi="Coda" w:cs="Coda"/>
      <w:color w:val="000000"/>
    </w:rPr>
  </w:style>
  <w:style w:type="paragraph" w:styleId="Kommentarthema">
    <w:name w:val="annotation subject"/>
    <w:basedOn w:val="Kommentartext"/>
    <w:next w:val="Kommentartext"/>
    <w:link w:val="KommentarthemaZchn"/>
    <w:uiPriority w:val="99"/>
    <w:semiHidden/>
    <w:unhideWhenUsed/>
    <w:rsid w:val="007F097F"/>
    <w:rPr>
      <w:b/>
      <w:bCs/>
    </w:rPr>
  </w:style>
  <w:style w:type="character" w:customStyle="1" w:styleId="KommentarthemaZchn">
    <w:name w:val="Kommentarthema Zchn"/>
    <w:basedOn w:val="KommentartextZchn"/>
    <w:link w:val="Kommentarthema"/>
    <w:uiPriority w:val="99"/>
    <w:semiHidden/>
    <w:rsid w:val="007F097F"/>
    <w:rPr>
      <w:rFonts w:ascii="Arial" w:hAnsi="Arial" w:cs="Arial"/>
      <w:b/>
      <w:bCs/>
      <w:sz w:val="20"/>
      <w:szCs w:val="20"/>
    </w:rPr>
  </w:style>
  <w:style w:type="table" w:styleId="Tabellenraster">
    <w:name w:val="Table Grid"/>
    <w:basedOn w:val="NormaleTabelle"/>
    <w:uiPriority w:val="59"/>
    <w:rsid w:val="008625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9A069E"/>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7797865">
      <w:bodyDiv w:val="1"/>
      <w:marLeft w:val="0"/>
      <w:marRight w:val="0"/>
      <w:marTop w:val="0"/>
      <w:marBottom w:val="0"/>
      <w:divBdr>
        <w:top w:val="none" w:sz="0" w:space="0" w:color="auto"/>
        <w:left w:val="none" w:sz="0" w:space="0" w:color="auto"/>
        <w:bottom w:val="none" w:sz="0" w:space="0" w:color="auto"/>
        <w:right w:val="none" w:sz="0" w:space="0" w:color="auto"/>
      </w:divBdr>
    </w:div>
    <w:div w:id="11937682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B7B775C-A4B5-7448-8724-256F07613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918</Words>
  <Characters>5784</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Klett-Gruppe</Company>
  <LinksUpToDate>false</LinksUpToDate>
  <CharactersWithSpaces>6689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Lier</dc:creator>
  <cp:lastModifiedBy>Luisa Biskupski</cp:lastModifiedBy>
  <cp:revision>3</cp:revision>
  <cp:lastPrinted>2019-10-07T14:18:00Z</cp:lastPrinted>
  <dcterms:created xsi:type="dcterms:W3CDTF">2019-11-14T16:36:00Z</dcterms:created>
  <dcterms:modified xsi:type="dcterms:W3CDTF">2019-11-14T16:36:00Z</dcterms:modified>
</cp:coreProperties>
</file>